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808080"/>
        </w:rPr>
        <w:t>___________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15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808080"/>
        </w:rPr>
        <w:t>___________</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VIPER ENERGY,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0" w:lineRule="exact"/>
        <w:rPr>
          <w:sz w:val="24"/>
          <w:szCs w:val="24"/>
          <w:color w:val="auto"/>
        </w:rPr>
      </w:pPr>
    </w:p>
    <w:tbl>
      <w:tblPr>
        <w:tblLayout w:type="fixed"/>
        <w:tblInd w:w="2220" w:type="dxa"/>
        <w:tblCellMar>
          <w:top w:w="0" w:type="dxa"/>
          <w:left w:w="0" w:type="dxa"/>
          <w:bottom w:w="0" w:type="dxa"/>
          <w:right w:w="0" w:type="dxa"/>
        </w:tblCellMar>
      </w:tblPr>
      <w:tr>
        <w:trPr>
          <w:trHeight w:val="212"/>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2400" w:type="dxa"/>
            <w:vAlign w:val="bottom"/>
          </w:tcPr>
          <w:p>
            <w:pPr>
              <w:jc w:val="right"/>
              <w:ind w:right="664"/>
              <w:spacing w:after="0"/>
              <w:rPr>
                <w:sz w:val="20"/>
                <w:szCs w:val="20"/>
                <w:color w:val="auto"/>
              </w:rPr>
            </w:pPr>
            <w:r>
              <w:rPr>
                <w:rFonts w:ascii="Times New Roman" w:cs="Times New Roman" w:eastAsia="Times New Roman" w:hAnsi="Times New Roman"/>
                <w:sz w:val="16"/>
                <w:szCs w:val="16"/>
                <w:b w:val="1"/>
                <w:bCs w:val="1"/>
                <w:color w:val="auto"/>
              </w:rPr>
              <w:t>001-42807</w:t>
            </w:r>
          </w:p>
        </w:tc>
        <w:tc>
          <w:tcPr>
            <w:tcW w:w="2280" w:type="dxa"/>
            <w:vAlign w:val="bottom"/>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39-2596878</w:t>
            </w:r>
          </w:p>
        </w:tc>
      </w:tr>
      <w:tr>
        <w:trPr>
          <w:trHeight w:val="402"/>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2400" w:type="dxa"/>
            <w:vAlign w:val="bottom"/>
          </w:tcPr>
          <w:p>
            <w:pPr>
              <w:jc w:val="center"/>
              <w:ind w:left="164"/>
              <w:spacing w:after="0"/>
              <w:rPr>
                <w:sz w:val="20"/>
                <w:szCs w:val="20"/>
                <w:color w:val="auto"/>
              </w:rPr>
            </w:pPr>
            <w:r>
              <w:rPr>
                <w:rFonts w:ascii="Times New Roman" w:cs="Times New Roman" w:eastAsia="Times New Roman" w:hAnsi="Times New Roman"/>
                <w:sz w:val="14"/>
                <w:szCs w:val="14"/>
                <w:color w:val="auto"/>
              </w:rPr>
              <w:t>(Commission File Number)</w:t>
            </w:r>
          </w:p>
        </w:tc>
        <w:tc>
          <w:tcPr>
            <w:tcW w:w="2280" w:type="dxa"/>
            <w:vAlign w:val="bottom"/>
          </w:tcPr>
          <w:p>
            <w:pPr>
              <w:jc w:val="center"/>
              <w:ind w:left="2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4"/>
                <w:szCs w:val="14"/>
                <w:color w:val="auto"/>
              </w:rPr>
              <w:t>of incorporation)</w:t>
            </w:r>
          </w:p>
        </w:tc>
        <w:tc>
          <w:tcPr>
            <w:tcW w:w="24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1"/>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7"/>
              </w:rPr>
              <w:t>500 West Texas Ave.</w:t>
            </w:r>
          </w:p>
        </w:tc>
        <w:tc>
          <w:tcPr>
            <w:tcW w:w="240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16"/>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8"/>
              </w:rPr>
              <w:t>Suite 100</w:t>
            </w:r>
          </w:p>
        </w:tc>
        <w:tc>
          <w:tcPr>
            <w:tcW w:w="24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3"/>
        </w:trPr>
        <w:tc>
          <w:tcPr>
            <w:tcW w:w="20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2400" w:type="dxa"/>
            <w:vAlign w:val="bottom"/>
          </w:tcPr>
          <w:p>
            <w:pPr>
              <w:spacing w:after="0"/>
              <w:rPr>
                <w:sz w:val="18"/>
                <w:szCs w:val="18"/>
                <w:color w:val="auto"/>
              </w:rPr>
            </w:pPr>
          </w:p>
        </w:tc>
        <w:tc>
          <w:tcPr>
            <w:tcW w:w="228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79701</w:t>
            </w:r>
          </w:p>
        </w:tc>
      </w:tr>
      <w:tr>
        <w:trPr>
          <w:trHeight w:val="148"/>
        </w:trPr>
        <w:tc>
          <w:tcPr>
            <w:tcW w:w="2040" w:type="dxa"/>
            <w:vAlign w:val="bottom"/>
          </w:tcPr>
          <w:p>
            <w:pPr>
              <w:jc w:val="center"/>
              <w:ind w:right="504"/>
              <w:spacing w:after="0" w:line="149" w:lineRule="exact"/>
              <w:rPr>
                <w:sz w:val="20"/>
                <w:szCs w:val="20"/>
                <w:color w:val="auto"/>
              </w:rPr>
            </w:pPr>
            <w:r>
              <w:rPr>
                <w:rFonts w:ascii="Times New Roman" w:cs="Times New Roman" w:eastAsia="Times New Roman" w:hAnsi="Times New Roman"/>
                <w:sz w:val="14"/>
                <w:szCs w:val="14"/>
                <w:color w:val="auto"/>
              </w:rPr>
              <w:t>(Address of principal</w:t>
            </w:r>
          </w:p>
        </w:tc>
        <w:tc>
          <w:tcPr>
            <w:tcW w:w="2400" w:type="dxa"/>
            <w:vAlign w:val="bottom"/>
          </w:tcPr>
          <w:p>
            <w:pPr>
              <w:spacing w:after="0"/>
              <w:rPr>
                <w:sz w:val="12"/>
                <w:szCs w:val="12"/>
                <w:color w:val="auto"/>
              </w:rPr>
            </w:pPr>
          </w:p>
        </w:tc>
        <w:tc>
          <w:tcPr>
            <w:tcW w:w="2280" w:type="dxa"/>
            <w:vAlign w:val="bottom"/>
          </w:tcPr>
          <w:p>
            <w:pPr>
              <w:jc w:val="center"/>
              <w:ind w:left="204"/>
              <w:spacing w:after="0" w:line="149" w:lineRule="exact"/>
              <w:rPr>
                <w:sz w:val="20"/>
                <w:szCs w:val="20"/>
                <w:color w:val="auto"/>
              </w:rPr>
            </w:pPr>
            <w:r>
              <w:rPr>
                <w:rFonts w:ascii="Times New Roman" w:cs="Times New Roman" w:eastAsia="Times New Roman" w:hAnsi="Times New Roman"/>
                <w:sz w:val="14"/>
                <w:szCs w:val="14"/>
                <w:color w:val="auto"/>
              </w:rPr>
              <w:t>(Zip Code)</w:t>
            </w:r>
          </w:p>
        </w:tc>
      </w:tr>
      <w:tr>
        <w:trPr>
          <w:trHeight w:val="188"/>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4"/>
                <w:szCs w:val="14"/>
                <w:color w:val="auto"/>
              </w:rPr>
              <w:t>executive offices)</w:t>
            </w:r>
          </w:p>
        </w:tc>
        <w:tc>
          <w:tcPr>
            <w:tcW w:w="2400" w:type="dxa"/>
            <w:vAlign w:val="bottom"/>
          </w:tcPr>
          <w:p>
            <w:pPr>
              <w:spacing w:after="0"/>
              <w:rPr>
                <w:sz w:val="16"/>
                <w:szCs w:val="16"/>
                <w:color w:val="auto"/>
              </w:rPr>
            </w:pPr>
          </w:p>
        </w:tc>
        <w:tc>
          <w:tcPr>
            <w:tcW w:w="2280" w:type="dxa"/>
            <w:vAlign w:val="bottom"/>
          </w:tcPr>
          <w:p>
            <w:pPr>
              <w:spacing w:after="0"/>
              <w:rPr>
                <w:sz w:val="16"/>
                <w:szCs w:val="16"/>
                <w:color w:val="auto"/>
              </w:rPr>
            </w:pPr>
          </w:p>
        </w:tc>
      </w:tr>
    </w:tbl>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(432) 221-7400</w:t>
      </w: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71" w:lineRule="exact"/>
        <w:rPr>
          <w:sz w:val="24"/>
          <w:szCs w:val="2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71"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Soliciting material pursuant to Rule 14a-12 under the Exchange Act (17 CFR 240.14a-12)</w:t>
      </w:r>
    </w:p>
    <w:p>
      <w:pPr>
        <w:spacing w:after="0" w:line="271"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14d-2(b) under the Exchange Act (17 CFR 240.14d-2(b))</w:t>
      </w:r>
    </w:p>
    <w:p>
      <w:pPr>
        <w:spacing w:after="0" w:line="257"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13e-4(c) under the Exchange Act (17 CFR 240.13e-4(c))</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40"/>
          </w:cols>
          <w:pgMar w:left="320" w:top="1312" w:right="339" w:bottom="1440" w:gutter="0" w:footer="0" w:header="0"/>
        </w:sectPr>
      </w:pPr>
    </w:p>
    <w:p>
      <w:pPr>
        <w:spacing w:after="0" w:line="14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420" w:space="720"/>
            <w:col w:w="1880" w:space="720"/>
            <w:col w:w="3500"/>
          </w:cols>
          <w:pgMar w:left="320" w:top="1312" w:right="33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4"/>
          <w:szCs w:val="14"/>
          <w:color w:val="auto"/>
        </w:rPr>
        <w:t>Class A Common Stock, $0.000001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VNOM</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42"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0" w:lineRule="exact"/>
        <w:rPr>
          <w:sz w:val="24"/>
          <w:szCs w:val="24"/>
          <w:color w:val="auto"/>
        </w:rPr>
      </w:pPr>
    </w:p>
    <w:p>
      <w:pPr>
        <w:sectPr>
          <w:pgSz w:w="11900" w:h="16838" w:orient="portrait"/>
          <w:cols w:equalWidth="0" w:num="3">
            <w:col w:w="4760" w:space="720"/>
            <w:col w:w="1900" w:space="720"/>
            <w:col w:w="3140"/>
          </w:cols>
          <w:pgMar w:left="320" w:top="1312" w:right="339" w:bottom="1440" w:gutter="0" w:footer="0" w:header="0"/>
          <w:type w:val="continuous"/>
        </w:sectPr>
      </w:pPr>
    </w:p>
    <w:p>
      <w:pPr>
        <w:spacing w:after="0" w:line="152"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7"/>
          <w:szCs w:val="17"/>
          <w:color w:val="auto"/>
        </w:rPr>
        <w:t>☐</w:t>
      </w:r>
    </w:p>
    <w:p>
      <w:pPr>
        <w:spacing w:after="0" w:line="300"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111760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 Change in Fiscal Year.</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May 19, 2026, Viper Energy, Inc. (the “Company”) filed an amended and restated certificate of incorporation (the “Second Amended and Restated Certificate of Incorporation”). The Second Amended and Restated Certificate of Incorporation was approved by the requisite number of votes by the Company’s stockholders at the Company’s 2026 Annual Meeting of Stockholders (the “Annual Meeting”). The Second Amended and Restated Certificate of Incorporation provides that stockholders holding at least 20% of the voting power, determined on a net long basis, continuously for at least one year, may call special meetings of stockholders and makes other immaterial changes.</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foregoing description of the Second Amended and Restated Certificate of Incorporation does not purport to be complete and is qualified in its entirety by reference to the actual terms of the Second Amended and Restated Certificate of Incorporation, which is attached as Exhibit 3.1 to this Current Report on Form 8-K and incorporated herein by reference.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19, 2026, the Company held its Annual Meeting at the Petroleum Club of Midland at 501 West Wall Street, Midland, Texas 79701. At the Annual Meeting, the Company’s stockholders voted on four proposals, each of which is described in more detail in the Company’s definitive proxy statement on Schedule 14A filed with the Securities and Exchange Commission on April 8, 2026. The following is a brief description of each matter voted upon and the results of such voting, including the number of votes cast for each matter and the number of votes cast against, abstentions and broker non-votes, if applicable, with respect to each matter.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Laurie H. Argo, Spencer D. Armour III, Frank C. Hu, W. Wesley Perry, James L. Rubin, Travis D. Stice, Kaes Van't Hof and Steven E. West were elected to continue to serve as the Company’s directors until the 2027 Annual Meeting of Stockholders or until their respective successors are duly elected and qualified. The results of the stockholder vote on Proposal 1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Nominee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7"/>
        </w:trPr>
        <w:tc>
          <w:tcPr>
            <w:tcW w:w="5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Laurie H. Argo</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310,344,798</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8,831,195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530,838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14,747,090</w:t>
            </w: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Spencer D. Armour III</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315,032,706</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4,416,722</w:t>
            </w:r>
          </w:p>
        </w:tc>
        <w:tc>
          <w:tcPr>
            <w:tcW w:w="100" w:type="dxa"/>
            <w:vAlign w:val="bottom"/>
          </w:tcPr>
          <w:p>
            <w:pPr>
              <w:spacing w:after="0"/>
              <w:rPr>
                <w:sz w:val="20"/>
                <w:szCs w:val="20"/>
                <w:color w:val="auto"/>
              </w:rPr>
            </w:pPr>
          </w:p>
        </w:tc>
        <w:tc>
          <w:tcPr>
            <w:tcW w:w="1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257,403</w:t>
            </w:r>
          </w:p>
        </w:tc>
        <w:tc>
          <w:tcPr>
            <w:tcW w:w="100" w:type="dxa"/>
            <w:vAlign w:val="bottom"/>
          </w:tcPr>
          <w:p>
            <w:pPr>
              <w:spacing w:after="0"/>
              <w:rPr>
                <w:sz w:val="20"/>
                <w:szCs w:val="20"/>
                <w:color w:val="auto"/>
              </w:rPr>
            </w:pP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14,747,090</w:t>
            </w:r>
          </w:p>
        </w:tc>
      </w:tr>
      <w:tr>
        <w:trPr>
          <w:trHeight w:val="22"/>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6"/>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 C. Hu</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316,463,712</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2,958,396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284,723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14,747,090</w:t>
            </w: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 Wesley Perry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314,801,157</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4,647,690</w:t>
            </w:r>
          </w:p>
        </w:tc>
        <w:tc>
          <w:tcPr>
            <w:tcW w:w="100" w:type="dxa"/>
            <w:vAlign w:val="bottom"/>
          </w:tcPr>
          <w:p>
            <w:pPr>
              <w:spacing w:after="0"/>
              <w:rPr>
                <w:sz w:val="20"/>
                <w:szCs w:val="20"/>
                <w:color w:val="auto"/>
              </w:rPr>
            </w:pPr>
          </w:p>
        </w:tc>
        <w:tc>
          <w:tcPr>
            <w:tcW w:w="1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257,984</w:t>
            </w:r>
          </w:p>
        </w:tc>
        <w:tc>
          <w:tcPr>
            <w:tcW w:w="100" w:type="dxa"/>
            <w:vAlign w:val="bottom"/>
          </w:tcPr>
          <w:p>
            <w:pPr>
              <w:spacing w:after="0"/>
              <w:rPr>
                <w:sz w:val="20"/>
                <w:szCs w:val="20"/>
                <w:color w:val="auto"/>
              </w:rPr>
            </w:pP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14,747,090</w:t>
            </w:r>
          </w:p>
        </w:tc>
      </w:tr>
      <w:tr>
        <w:trPr>
          <w:trHeight w:val="22"/>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6"/>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 Rubin</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310,270,317</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9,178,249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258,265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14,747,090</w:t>
            </w: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318,943,050</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507,744</w:t>
            </w:r>
          </w:p>
        </w:tc>
        <w:tc>
          <w:tcPr>
            <w:tcW w:w="100" w:type="dxa"/>
            <w:vAlign w:val="bottom"/>
          </w:tcPr>
          <w:p>
            <w:pPr>
              <w:spacing w:after="0"/>
              <w:rPr>
                <w:sz w:val="20"/>
                <w:szCs w:val="20"/>
                <w:color w:val="auto"/>
              </w:rPr>
            </w:pPr>
          </w:p>
        </w:tc>
        <w:tc>
          <w:tcPr>
            <w:tcW w:w="1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256,037</w:t>
            </w:r>
          </w:p>
        </w:tc>
        <w:tc>
          <w:tcPr>
            <w:tcW w:w="100" w:type="dxa"/>
            <w:vAlign w:val="bottom"/>
          </w:tcPr>
          <w:p>
            <w:pPr>
              <w:spacing w:after="0"/>
              <w:rPr>
                <w:sz w:val="20"/>
                <w:szCs w:val="20"/>
                <w:color w:val="auto"/>
              </w:rPr>
            </w:pP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14,747,090</w:t>
            </w:r>
          </w:p>
        </w:tc>
      </w:tr>
      <w:tr>
        <w:trPr>
          <w:trHeight w:val="22"/>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7"/>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Kaes Van't Hof</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318,926,187</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524,450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256,194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14,747,090</w:t>
            </w: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E. West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312,229,207</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7,219,518</w:t>
            </w:r>
          </w:p>
        </w:tc>
        <w:tc>
          <w:tcPr>
            <w:tcW w:w="100" w:type="dxa"/>
            <w:vAlign w:val="bottom"/>
          </w:tcPr>
          <w:p>
            <w:pPr>
              <w:spacing w:after="0"/>
              <w:rPr>
                <w:sz w:val="20"/>
                <w:szCs w:val="20"/>
                <w:color w:val="auto"/>
              </w:rPr>
            </w:pPr>
          </w:p>
        </w:tc>
        <w:tc>
          <w:tcPr>
            <w:tcW w:w="1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258,106</w:t>
            </w:r>
          </w:p>
        </w:tc>
        <w:tc>
          <w:tcPr>
            <w:tcW w:w="100" w:type="dxa"/>
            <w:vAlign w:val="bottom"/>
          </w:tcPr>
          <w:p>
            <w:pPr>
              <w:spacing w:after="0"/>
              <w:rPr>
                <w:sz w:val="20"/>
                <w:szCs w:val="20"/>
                <w:color w:val="auto"/>
              </w:rPr>
            </w:pP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14,747,090</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 The results of the stockholder vote on Proposal 2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7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8"/>
        </w:trPr>
        <w:tc>
          <w:tcPr>
            <w:tcW w:w="27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276,982,537</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42,274,219</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450,075</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14,747,090</w:t>
            </w:r>
          </w:p>
        </w:tc>
      </w:tr>
      <w:tr>
        <w:trPr>
          <w:trHeight w:val="22"/>
        </w:trPr>
        <w:tc>
          <w:tcPr>
            <w:tcW w:w="2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appointment of Grant Thornton LLP as the Company’s independent auditor for the fiscal year ending December 31, 2026 was ratified. The results of the stockholder vote on Proposal 3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r>
      <w:tr>
        <w:trPr>
          <w:trHeight w:val="230"/>
        </w:trPr>
        <w:tc>
          <w:tcPr>
            <w:tcW w:w="2700" w:type="dxa"/>
            <w:vAlign w:val="bottom"/>
            <w:tcBorders>
              <w:top w:val="single" w:sz="8" w:color="auto"/>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333,814,077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700" w:type="dxa"/>
            <w:vAlign w:val="bottom"/>
            <w:tcBorders>
              <w:top w:val="single" w:sz="8" w:color="auto"/>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367,121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740" w:type="dxa"/>
            <w:vAlign w:val="bottom"/>
            <w:tcBorders>
              <w:top w:val="single" w:sz="8" w:color="auto"/>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272,723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7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r>
      <w:tr>
        <w:trPr>
          <w:trHeight w:val="1222"/>
        </w:trPr>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stockholders approved an amendment to the Company’s certificate of incorporation to provide that stockholders holding at least 20% of the voting power, determined on a net long basis, continuously for at least one year, may call special meetings of stockholders, and other immaterial changes. The results of the stockholder vote on Proposal 4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7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8"/>
        </w:trPr>
        <w:tc>
          <w:tcPr>
            <w:tcW w:w="27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301,976,161</w:t>
            </w: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17,401,754</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328,916</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14,747,090</w:t>
            </w:r>
          </w:p>
        </w:tc>
      </w:tr>
      <w:tr>
        <w:trPr>
          <w:trHeight w:val="22"/>
        </w:trPr>
        <w:tc>
          <w:tcPr>
            <w:tcW w:w="2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p>
      <w:pPr>
        <w:ind w:left="2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2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FF"/>
        </w:rPr>
        <w:t>Second Amended and Restated Certificate of Incorporation of Viper Energy, Inc., dated May 19, 2026.</w:t>
      </w:r>
    </w:p>
    <w:p>
      <w:pPr>
        <w:spacing w:after="0" w:line="27"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200" w:type="dxa"/>
            <w:vAlign w:val="bottom"/>
            <w:gridSpan w:val="2"/>
          </w:tcPr>
          <w:p>
            <w:pPr>
              <w:ind w:left="6220"/>
              <w:spacing w:after="0"/>
              <w:rPr>
                <w:sz w:val="20"/>
                <w:szCs w:val="20"/>
                <w:color w:val="auto"/>
              </w:rPr>
            </w:pPr>
            <w:r>
              <w:rPr>
                <w:rFonts w:ascii="Times New Roman" w:cs="Times New Roman" w:eastAsia="Times New Roman" w:hAnsi="Times New Roman"/>
                <w:sz w:val="18"/>
                <w:szCs w:val="18"/>
                <w:color w:val="auto"/>
              </w:rPr>
              <w:t>VIPER ENERGY, INC.</w:t>
            </w:r>
          </w:p>
        </w:tc>
      </w:tr>
      <w:tr>
        <w:trPr>
          <w:trHeight w:val="445"/>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4260" w:type="dxa"/>
            <w:vAlign w:val="bottom"/>
          </w:tcPr>
          <w:p>
            <w:pPr>
              <w:spacing w:after="0"/>
              <w:rPr>
                <w:sz w:val="24"/>
                <w:szCs w:val="24"/>
                <w:color w:val="auto"/>
              </w:rPr>
            </w:pPr>
          </w:p>
        </w:tc>
      </w:tr>
      <w:tr>
        <w:trPr>
          <w:trHeight w:val="445"/>
        </w:trPr>
        <w:tc>
          <w:tcPr>
            <w:tcW w:w="6940" w:type="dxa"/>
            <w:vAlign w:val="bottom"/>
          </w:tcPr>
          <w:p>
            <w:pPr>
              <w:ind w:left="622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6940" w:type="dxa"/>
            <w:vAlign w:val="bottom"/>
          </w:tcPr>
          <w:p>
            <w:pPr>
              <w:ind w:left="6220"/>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180"/>
        </w:trPr>
        <w:tc>
          <w:tcPr>
            <w:tcW w:w="6940" w:type="dxa"/>
            <w:vAlign w:val="bottom"/>
          </w:tcPr>
          <w:p>
            <w:pPr>
              <w:ind w:left="62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Executive Vice President and</w:t>
            </w:r>
          </w:p>
        </w:tc>
      </w:tr>
      <w:tr>
        <w:trPr>
          <w:trHeight w:val="234"/>
        </w:trPr>
        <w:tc>
          <w:tcPr>
            <w:tcW w:w="694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Assistant Secretary</w:t>
            </w:r>
          </w:p>
        </w:tc>
      </w:tr>
    </w:tbl>
    <w:p>
      <w:pPr>
        <w:sectPr>
          <w:pgSz w:w="11900" w:h="16838" w:orient="portrait"/>
          <w:cols w:equalWidth="0" w:num="1">
            <w:col w:w="11240"/>
          </w:cols>
          <w:pgMar w:left="320" w:top="887" w:right="339" w:bottom="1440" w:gutter="0" w:footer="0" w:header="0"/>
        </w:sectPr>
      </w:pPr>
    </w:p>
    <w:bookmarkStart w:id="4" w:name="page5"/>
    <w:bookmarkEnd w:id="4"/>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Viper Energy,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hereby certifies as follows:</w:t>
      </w:r>
    </w:p>
    <w:p>
      <w:pPr>
        <w:spacing w:after="0" w:line="198" w:lineRule="exact"/>
        <w:rPr>
          <w:sz w:val="20"/>
          <w:szCs w:val="20"/>
          <w:color w:val="auto"/>
        </w:rPr>
      </w:pPr>
    </w:p>
    <w:p>
      <w:pPr>
        <w:ind w:left="300" w:right="80" w:hanging="274"/>
        <w:spacing w:after="0" w:line="259" w:lineRule="auto"/>
        <w:tabs>
          <w:tab w:leader="none" w:pos="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of incorporation of the Corporation (the “</w:t>
      </w:r>
      <w:r>
        <w:rPr>
          <w:rFonts w:ascii="Times New Roman" w:cs="Times New Roman" w:eastAsia="Times New Roman" w:hAnsi="Times New Roman"/>
          <w:sz w:val="18"/>
          <w:szCs w:val="18"/>
          <w:b w:val="1"/>
          <w:bCs w:val="1"/>
          <w:i w:val="1"/>
          <w:iCs w:val="1"/>
          <w:color w:val="auto"/>
        </w:rPr>
        <w:t>Original Certificate of Incorporation</w:t>
      </w:r>
      <w:r>
        <w:rPr>
          <w:rFonts w:ascii="Times New Roman" w:cs="Times New Roman" w:eastAsia="Times New Roman" w:hAnsi="Times New Roman"/>
          <w:sz w:val="18"/>
          <w:szCs w:val="18"/>
          <w:color w:val="auto"/>
        </w:rPr>
        <w:t>”) was filed with the Secretary of State of the State of Delaware on June 2, 2025. The name under which the Corporation filed the Original Certificate of Incorporation was New Cobra Pubco, Inc. The amended and restated certificate of incorporation of the Corporation (the “</w:t>
      </w:r>
      <w:r>
        <w:rPr>
          <w:rFonts w:ascii="Times New Roman" w:cs="Times New Roman" w:eastAsia="Times New Roman" w:hAnsi="Times New Roman"/>
          <w:sz w:val="18"/>
          <w:szCs w:val="18"/>
          <w:b w:val="1"/>
          <w:bCs w:val="1"/>
          <w:i w:val="1"/>
          <w:iCs w:val="1"/>
          <w:color w:val="auto"/>
        </w:rPr>
        <w:t>Amended and Restated Certificate of Incorporation</w:t>
      </w:r>
      <w:r>
        <w:rPr>
          <w:rFonts w:ascii="Times New Roman" w:cs="Times New Roman" w:eastAsia="Times New Roman" w:hAnsi="Times New Roman"/>
          <w:sz w:val="18"/>
          <w:szCs w:val="18"/>
          <w:color w:val="auto"/>
        </w:rPr>
        <w:t>”), which amended and restated the Original Certificate of Incorporation in its entirety, was filed with the Secretary of State of the State of Delaware on August 18, 2025 and became effective at 11:59 pm (local time in Wilmington, Delaware) on August 18, 2025.</w:t>
      </w:r>
    </w:p>
    <w:p>
      <w:pPr>
        <w:spacing w:after="0" w:line="264" w:lineRule="exact"/>
        <w:rPr>
          <w:rFonts w:ascii="Times New Roman" w:cs="Times New Roman" w:eastAsia="Times New Roman" w:hAnsi="Times New Roman"/>
          <w:sz w:val="18"/>
          <w:szCs w:val="18"/>
          <w:color w:val="auto"/>
        </w:rPr>
      </w:pPr>
    </w:p>
    <w:p>
      <w:pPr>
        <w:ind w:left="300" w:right="180" w:hanging="274"/>
        <w:spacing w:after="0" w:line="312"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amendment to the Amended and Restated Certificate of Incorporation was filed with the Secretary of State of the State of Delaware on August 18, 2025 and became effective at 12:03 am (local time in Wilmington, Delaware) on August 19, 2025 (the “</w:t>
      </w:r>
      <w:r>
        <w:rPr>
          <w:rFonts w:ascii="Times New Roman" w:cs="Times New Roman" w:eastAsia="Times New Roman" w:hAnsi="Times New Roman"/>
          <w:sz w:val="17"/>
          <w:szCs w:val="17"/>
          <w:b w:val="1"/>
          <w:bCs w:val="1"/>
          <w:i w:val="1"/>
          <w:iCs w:val="1"/>
          <w:color w:val="auto"/>
        </w:rPr>
        <w:t>Certificate of Amendment</w:t>
      </w:r>
      <w:r>
        <w:rPr>
          <w:rFonts w:ascii="Times New Roman" w:cs="Times New Roman" w:eastAsia="Times New Roman" w:hAnsi="Times New Roman"/>
          <w:sz w:val="17"/>
          <w:szCs w:val="17"/>
          <w:color w:val="auto"/>
        </w:rPr>
        <w:t>”).</w:t>
      </w:r>
    </w:p>
    <w:p>
      <w:pPr>
        <w:spacing w:after="0" w:line="216" w:lineRule="exact"/>
        <w:rPr>
          <w:rFonts w:ascii="Times New Roman" w:cs="Times New Roman" w:eastAsia="Times New Roman" w:hAnsi="Times New Roman"/>
          <w:sz w:val="17"/>
          <w:szCs w:val="17"/>
          <w:color w:val="auto"/>
        </w:rPr>
      </w:pPr>
    </w:p>
    <w:p>
      <w:pPr>
        <w:ind w:left="300" w:right="100" w:hanging="274"/>
        <w:spacing w:after="0" w:line="262" w:lineRule="auto"/>
        <w:tabs>
          <w:tab w:leader="none" w:pos="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(this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which amends and restates the Amended and Restated Certificate of Incorporation (as amended by the Certificate of Amendment) in its entirety, was duly adopted by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accordance with the provisions of Sections 242 and 245 of the General Corporation Law of the State of Delaware (as amended from time to time,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by the stockholders of the Corporation in accordance with Sections 242 and 245 of the DGCL.</w:t>
      </w:r>
    </w:p>
    <w:p>
      <w:pPr>
        <w:spacing w:after="0" w:line="200" w:lineRule="exact"/>
        <w:rPr>
          <w:sz w:val="20"/>
          <w:szCs w:val="20"/>
          <w:color w:val="auto"/>
        </w:rPr>
      </w:pPr>
    </w:p>
    <w:p>
      <w:pPr>
        <w:spacing w:after="0" w:line="314" w:lineRule="exact"/>
        <w:rPr>
          <w:sz w:val="20"/>
          <w:szCs w:val="20"/>
          <w:color w:val="auto"/>
        </w:rPr>
      </w:pPr>
    </w:p>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Amended and Restated Certificate of Incorporation (as amended by the Certificate of Amendment) is hereby amended and restated in its entirety to read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name of the Corporation is Viper Energy,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right="60" w:firstLine="992"/>
        <w:spacing w:after="0" w:line="282" w:lineRule="auto"/>
        <w:rPr>
          <w:sz w:val="20"/>
          <w:szCs w:val="20"/>
          <w:color w:val="auto"/>
        </w:rPr>
      </w:pPr>
      <w:r>
        <w:rPr>
          <w:rFonts w:ascii="Times New Roman" w:cs="Times New Roman" w:eastAsia="Times New Roman" w:hAnsi="Times New Roman"/>
          <w:sz w:val="18"/>
          <w:szCs w:val="18"/>
          <w:color w:val="auto"/>
        </w:rPr>
        <w:t>The street address of the registered office of the Corporation in the State of Delaware is 251 Little Falls Drive, County of New Castle, City of Wilmington, Delaware 19808 and the name of the Corporation’s registered agent at such address is Corporation Service Company.</w:t>
      </w:r>
    </w:p>
    <w:p>
      <w:pPr>
        <w:sectPr>
          <w:pgSz w:w="11900" w:h="16838" w:orient="portrait"/>
          <w:cols w:equalWidth="0" w:num="1">
            <w:col w:w="11240"/>
          </w:cols>
          <w:pgMar w:left="320" w:top="1440" w:right="339" w:bottom="1440" w:gutter="0" w:footer="0" w:header="0"/>
        </w:sectPr>
      </w:pPr>
    </w:p>
    <w:bookmarkStart w:id="5" w:name="page6"/>
    <w:bookmarkEnd w:id="5"/>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000"/>
        <w:spacing w:after="0" w:line="258"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capital stock that the Corporation is authorized to issue is 2,100,000,000 shares, divided into three classes, consisting of: (i) 1,000,000,000 shares of Class A common stock, with par value of $0.000001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(ii) 1,000,000,000 shares of Class B common stock, with par value of $0.000001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(iii) 100,000,000 shares of preferred stock, par value $0.000001 per share and thereafter as may be established by the Board with respect to any series thereof in the applicable preferred stock designation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60" w:hanging="260"/>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series of Preferred Stock pursuant to the terms of this Certificate:</w:t>
      </w:r>
    </w:p>
    <w:p>
      <w:pPr>
        <w:spacing w:after="0" w:line="117" w:lineRule="exact"/>
        <w:rPr>
          <w:rFonts w:ascii="Times New Roman" w:cs="Times New Roman" w:eastAsia="Times New Roman" w:hAnsi="Times New Roman"/>
          <w:sz w:val="18"/>
          <w:szCs w:val="18"/>
          <w:color w:val="auto"/>
        </w:rPr>
      </w:pPr>
    </w:p>
    <w:p>
      <w:pPr>
        <w:ind w:right="320" w:firstLine="1440"/>
        <w:spacing w:after="0" w:line="266" w:lineRule="auto"/>
        <w:tabs>
          <w:tab w:leader="none" w:pos="164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of Class A Common Stock may be increased or decreased (but not below the number of shares thereof then outstanding) by the affirmative vote of the holders of a majority of the voting power of the stock of the Corporation entitled to vote, voting together as a single class, irrespective of the provisions of Section 242(b)(2) of the DGCL;</w:t>
      </w:r>
    </w:p>
    <w:p>
      <w:pPr>
        <w:spacing w:after="0" w:line="67" w:lineRule="exact"/>
        <w:rPr>
          <w:rFonts w:ascii="Times New Roman" w:cs="Times New Roman" w:eastAsia="Times New Roman" w:hAnsi="Times New Roman"/>
          <w:sz w:val="18"/>
          <w:szCs w:val="18"/>
          <w:color w:val="auto"/>
        </w:rPr>
      </w:pPr>
    </w:p>
    <w:p>
      <w:pPr>
        <w:ind w:right="120" w:firstLine="1440"/>
        <w:spacing w:after="0" w:line="266" w:lineRule="auto"/>
        <w:tabs>
          <w:tab w:leader="none" w:pos="169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vote required by law, the number of authorized shares of Class B Common Stock may be increased or decreased (but not below the number of shares thereof then outstanding) by the affirmative vote of the holders of a majority of the Class B Common Stock, voting separately as a class; and</w:t>
      </w:r>
    </w:p>
    <w:p>
      <w:pPr>
        <w:spacing w:after="0" w:line="67" w:lineRule="exact"/>
        <w:rPr>
          <w:rFonts w:ascii="Times New Roman" w:cs="Times New Roman" w:eastAsia="Times New Roman" w:hAnsi="Times New Roman"/>
          <w:sz w:val="18"/>
          <w:szCs w:val="18"/>
          <w:color w:val="auto"/>
        </w:rPr>
      </w:pPr>
    </w:p>
    <w:p>
      <w:pPr>
        <w:ind w:right="180" w:firstLine="1440"/>
        <w:spacing w:after="0" w:line="266" w:lineRule="auto"/>
        <w:tabs>
          <w:tab w:leader="none" w:pos="174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of any class of stock, other than the Class B Common Stock, may be increased or decreased (but not below the number of shares thereof then outstanding) by the affirmative vote of the holders of a majority of the voting power of the stock of the Corporation entitled to vote, voting together as a single class, irrespective of the provisions of Section 242(b)(2) of the DGCL.</w:t>
      </w:r>
    </w:p>
    <w:p>
      <w:pPr>
        <w:spacing w:after="0" w:line="176" w:lineRule="exact"/>
        <w:rPr>
          <w:sz w:val="20"/>
          <w:szCs w:val="20"/>
          <w:color w:val="auto"/>
        </w:rPr>
      </w:pPr>
    </w:p>
    <w:p>
      <w:pPr>
        <w:ind w:right="260" w:firstLine="992"/>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immediately preceding sentence, the number of shares of Class A Common Stock shall not be decreased at any time below the number of shares of Class A Common Stock then outstanding plus the number of shares of Class A Common Stock issuable at such time in connection with (x) the exchange of all then-outstanding Paired Interests, pursuant to the Exchange Agreement and (y) to the extent required by law, the exercise of all then-outstanding options, warrants, exchange rights, conversion rights or similar rights for Class A Common Stock. Notwithstanding anything in this Certificate to the contrary, the Corporation hereby expressly elects to be governed by Section 242(d) of the DGCL, except to the extent otherwise provided in </w:t>
      </w:r>
      <w:r>
        <w:rPr>
          <w:rFonts w:ascii="Times New Roman" w:cs="Times New Roman" w:eastAsia="Times New Roman" w:hAnsi="Times New Roman"/>
          <w:sz w:val="18"/>
          <w:szCs w:val="18"/>
          <w:u w:val="single" w:color="auto"/>
          <w:color w:val="auto"/>
        </w:rPr>
        <w:t>Section 4.1(b)(ii)</w:t>
      </w:r>
      <w:r>
        <w:rPr>
          <w:rFonts w:ascii="Times New Roman" w:cs="Times New Roman" w:eastAsia="Times New Roman" w:hAnsi="Times New Roman"/>
          <w:sz w:val="18"/>
          <w:szCs w:val="18"/>
          <w:color w:val="auto"/>
        </w:rPr>
        <w:t xml:space="preserve"> of this Certificate or pursuant to the rights of the holders of any series of Preferred Stock.</w:t>
      </w:r>
    </w:p>
    <w:p>
      <w:pPr>
        <w:spacing w:after="0" w:line="187" w:lineRule="exact"/>
        <w:rPr>
          <w:sz w:val="20"/>
          <w:szCs w:val="20"/>
          <w:color w:val="auto"/>
        </w:rPr>
      </w:pPr>
    </w:p>
    <w:p>
      <w:pPr>
        <w:ind w:right="80" w:firstLine="992"/>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Shares of Preferred Stock may be issued in one or more series from time to time with each such series to consist of such number of shares and to have such voting powers, full or limited, or no voting powers, and such designations, preferences and relative, participating, optional or other special rights, and the qualifications, limitations or restrictions thereof, as shall be stated in the resolution or resolutions providing for the issuance of such series adopted by the Board and included in a certificate of designations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filed pursuant to the DGCL, and the Board is hereby expressly vested with the authority, to the full extent now or hereafter provided by law, to adopt any such resolution or resolutions.</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1000"/>
        <w:spacing w:after="0" w:line="256"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shares of Common Stock, as such, shall be entitled to one vote for each share of Common Stock held of record by such holder on all matters on which stockholders generally are entitled to vote. Except as otherwise required by law or this Certificate (including any Preferred Stock Designation), at any annual or special meeting of the stockholders the Common Stock shall have the exclusive right to vote for the election of directors and on all other matters properly submitted to a vote of the stockholders. Notwithstanding the foregoing, except as otherwise required by law or this Certificate (including a Preferred Stock Designation), holders of Common Stock, as such, shall not be entitled to vote on any amendment to this Certificate (including any amendment to any Preferred Stock Designation) that relates solely to the terms of one or more outstanding series of</w:t>
      </w:r>
    </w:p>
    <w:p>
      <w:pPr>
        <w:sectPr>
          <w:pgSz w:w="11900" w:h="16838" w:orient="portrait"/>
          <w:cols w:equalWidth="0" w:num="1">
            <w:col w:w="11220"/>
          </w:cols>
          <w:pgMar w:left="320" w:top="1440" w:right="359" w:bottom="1440" w:gutter="0" w:footer="0" w:header="0"/>
        </w:sectPr>
      </w:pPr>
    </w:p>
    <w:bookmarkStart w:id="6" w:name="page7"/>
    <w:bookmarkEnd w:id="6"/>
    <w:p>
      <w:pPr>
        <w:spacing w:after="0" w:line="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Preferred Stock if the holders of such affected series are entitled, either separately or together with the holders of one or more other such series, to vote thereon pursuant to this Certificate (including any Preferred Stock Designation) or pursuant to the DGCL.</w:t>
      </w:r>
    </w:p>
    <w:p>
      <w:pPr>
        <w:spacing w:after="0" w:line="54" w:lineRule="exact"/>
        <w:rPr>
          <w:sz w:val="20"/>
          <w:szCs w:val="20"/>
          <w:color w:val="auto"/>
        </w:rPr>
      </w:pPr>
    </w:p>
    <w:p>
      <w:pPr>
        <w:ind w:firstLine="1000"/>
        <w:spacing w:after="0" w:line="261"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required in this Certificate or as required by applicable law, the holders of Class A Common Stock and Class B Common Stock shall vote together as a single class (or, if the holders of more than one series of Preferred Stock are entitled to vote together with the holders of Class A Common Stock and Class B Common Stock, together as a single class with the holders of such other series of Preferred Stock) on all matters submitted to the vote of stockholders generally. There shall be no cumulative voting.</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Dividends, Stock Splits or Combinations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1000"/>
        <w:spacing w:after="0" w:line="261"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or any class or series of stock having a preference senior to or the right to participate with the Class A Common Stock with respect to the payment of dividends, dividends of cash or property may be declared and paid on the Class A Common Stock to the extent not prohibited by law, at the times and in the amounts as the Board in its discretion may determine.</w:t>
      </w:r>
    </w:p>
    <w:p>
      <w:pPr>
        <w:spacing w:after="0" w:line="71" w:lineRule="exact"/>
        <w:rPr>
          <w:rFonts w:ascii="Times New Roman" w:cs="Times New Roman" w:eastAsia="Times New Roman" w:hAnsi="Times New Roman"/>
          <w:sz w:val="18"/>
          <w:szCs w:val="18"/>
          <w:color w:val="auto"/>
        </w:rPr>
      </w:pPr>
    </w:p>
    <w:p>
      <w:pPr>
        <w:jc w:val="both"/>
        <w:ind w:right="340" w:firstLine="1006"/>
        <w:spacing w:after="0" w:line="261" w:lineRule="auto"/>
        <w:tabs>
          <w:tab w:leader="none" w:pos="12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of cash or property shall not be declared or paid on shares of Class B Common Stock, except for: (i) the holders of Class B Common Stock shall be entitled to receive, except to the extent prohibited by law, a mandatory cash dividend, paid quarterly, in an amount per share of Class B Common Stock equal to (A) $20,000 divided by (B) the number of shares of Class B Common Stock then outstanding; and (ii) as provided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with respect to stock dividends.</w:t>
      </w:r>
    </w:p>
    <w:p>
      <w:pPr>
        <w:spacing w:after="0" w:line="71" w:lineRule="exact"/>
        <w:rPr>
          <w:rFonts w:ascii="Times New Roman" w:cs="Times New Roman" w:eastAsia="Times New Roman" w:hAnsi="Times New Roman"/>
          <w:sz w:val="18"/>
          <w:szCs w:val="18"/>
          <w:color w:val="auto"/>
        </w:rPr>
      </w:pPr>
    </w:p>
    <w:p>
      <w:pPr>
        <w:ind w:right="320" w:firstLine="1006"/>
        <w:spacing w:after="0" w:line="282" w:lineRule="auto"/>
        <w:tabs>
          <w:tab w:leader="none" w:pos="12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stock dividend, stock split, reverse stock split or combination or subdivision of stock be declared or made on any class of Common Stock (each, a “</w:t>
      </w:r>
      <w:r>
        <w:rPr>
          <w:rFonts w:ascii="Times New Roman" w:cs="Times New Roman" w:eastAsia="Times New Roman" w:hAnsi="Times New Roman"/>
          <w:sz w:val="18"/>
          <w:szCs w:val="18"/>
          <w:b w:val="1"/>
          <w:bCs w:val="1"/>
          <w:i w:val="1"/>
          <w:iCs w:val="1"/>
          <w:color w:val="auto"/>
        </w:rPr>
        <w:t>Stock Adjustment</w:t>
      </w:r>
      <w:r>
        <w:rPr>
          <w:rFonts w:ascii="Times New Roman" w:cs="Times New Roman" w:eastAsia="Times New Roman" w:hAnsi="Times New Roman"/>
          <w:sz w:val="18"/>
          <w:szCs w:val="18"/>
          <w:color w:val="auto"/>
        </w:rPr>
        <w:t>”) unless either:</w:t>
      </w:r>
    </w:p>
    <w:p>
      <w:pPr>
        <w:spacing w:after="0" w:line="53" w:lineRule="exact"/>
        <w:rPr>
          <w:rFonts w:ascii="Times New Roman" w:cs="Times New Roman" w:eastAsia="Times New Roman" w:hAnsi="Times New Roman"/>
          <w:sz w:val="18"/>
          <w:szCs w:val="18"/>
          <w:color w:val="auto"/>
        </w:rPr>
      </w:pPr>
    </w:p>
    <w:p>
      <w:pPr>
        <w:jc w:val="both"/>
        <w:ind w:right="560" w:firstLine="1991"/>
        <w:spacing w:after="0" w:line="266" w:lineRule="auto"/>
        <w:tabs>
          <w:tab w:leader="none" w:pos="223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corresponding Stock Adjustment in the class of Common Stock not so adjusted (or corresponding voting power adjustment in the case of shares of Class B Common Stock) at the time outstanding is made in the same proportion and the same manner and (ii) the Corporation causes the Stock Adjustment to be reflected in the same economically equivalent manner on all OpCo Units; or</w:t>
      </w:r>
    </w:p>
    <w:p>
      <w:pPr>
        <w:spacing w:after="0" w:line="67" w:lineRule="exact"/>
        <w:rPr>
          <w:rFonts w:ascii="Times New Roman" w:cs="Times New Roman" w:eastAsia="Times New Roman" w:hAnsi="Times New Roman"/>
          <w:sz w:val="18"/>
          <w:szCs w:val="18"/>
          <w:color w:val="auto"/>
        </w:rPr>
      </w:pPr>
    </w:p>
    <w:p>
      <w:pPr>
        <w:ind w:right="340" w:firstLine="1991"/>
        <w:spacing w:after="0" w:line="282" w:lineRule="auto"/>
        <w:tabs>
          <w:tab w:leader="none" w:pos="223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transaction is approved by the affirmative vote of the holders of each of (i) a majority of the Class A Common Stock outstanding, voting as a separate class; and (ii) a majority of the Class B Common Stock outstanding, voting as a separate class.</w:t>
      </w:r>
    </w:p>
    <w:p>
      <w:pPr>
        <w:spacing w:after="0" w:line="162" w:lineRule="exact"/>
        <w:rPr>
          <w:sz w:val="20"/>
          <w:szCs w:val="20"/>
          <w:color w:val="auto"/>
        </w:rPr>
      </w:pPr>
    </w:p>
    <w:p>
      <w:pPr>
        <w:ind w:right="240" w:firstLine="992"/>
        <w:spacing w:after="0" w:line="258" w:lineRule="auto"/>
        <w:rPr>
          <w:sz w:val="20"/>
          <w:szCs w:val="20"/>
          <w:color w:val="auto"/>
        </w:rPr>
      </w:pPr>
      <w:r>
        <w:rPr>
          <w:rFonts w:ascii="Times New Roman" w:cs="Times New Roman" w:eastAsia="Times New Roman" w:hAnsi="Times New Roman"/>
          <w:sz w:val="18"/>
          <w:szCs w:val="18"/>
          <w:color w:val="auto"/>
        </w:rPr>
        <w:t xml:space="preserve">Stock dividends with respect to Class A Common Stock may only be paid with Class A Common Stock or Preferred Stock (or rights to acquire Class A Common Stock or Preferred Stock). Stock dividends with respect to Class B Common Stock may only be paid with Class B Common Stock or Preferred Stock (or rights to acquire Class B Common Stock or Preferred Stock). This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shall not be amended unless (i) corresponding changes are made to the OpCo Limited Liability Company Agreement and (ii) such amendment is approved by the affirmative vote of the holders of at least 80% of the Class B Common Stock outstanding, voting as a separate class.</w:t>
      </w:r>
    </w:p>
    <w:p>
      <w:pPr>
        <w:spacing w:after="0" w:line="183" w:lineRule="exact"/>
        <w:rPr>
          <w:sz w:val="20"/>
          <w:szCs w:val="20"/>
          <w:color w:val="auto"/>
        </w:rPr>
      </w:pPr>
    </w:p>
    <w:p>
      <w:pPr>
        <w:ind w:firstLine="992"/>
        <w:spacing w:after="0" w:line="253"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Liquidation and Other Events</w:t>
      </w:r>
      <w:r>
        <w:rPr>
          <w:rFonts w:ascii="Times New Roman" w:cs="Times New Roman" w:eastAsia="Times New Roman" w:hAnsi="Times New Roman"/>
          <w:sz w:val="18"/>
          <w:szCs w:val="18"/>
          <w:color w:val="auto"/>
        </w:rPr>
        <w:t>.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remaining assets of the Corporation available for distribution shall (i) first be distributed, pari passu, to the holders of Class B Common Stock, ratably in proportion to the number of shares of Class B Common Stock, until the holders of all outstanding Class B Common Stock have received $0.014 (which amount shall be adjusted accordingly in the case of any stock split, subdivision or combination with respect to Class B Common Stock) in respect of each share of Class B Common Stock then outstanding (the “</w:t>
      </w:r>
      <w:r>
        <w:rPr>
          <w:rFonts w:ascii="Times New Roman" w:cs="Times New Roman" w:eastAsia="Times New Roman" w:hAnsi="Times New Roman"/>
          <w:sz w:val="18"/>
          <w:szCs w:val="18"/>
          <w:b w:val="1"/>
          <w:bCs w:val="1"/>
          <w:i w:val="1"/>
          <w:iCs w:val="1"/>
          <w:color w:val="auto"/>
        </w:rPr>
        <w:t>Class B 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Preference</w:t>
      </w:r>
      <w:r>
        <w:rPr>
          <w:rFonts w:ascii="Times New Roman" w:cs="Times New Roman" w:eastAsia="Times New Roman" w:hAnsi="Times New Roman"/>
          <w:sz w:val="18"/>
          <w:szCs w:val="18"/>
          <w:color w:val="auto"/>
        </w:rPr>
        <w:t>”), and (ii) then be distributed, pari passu, to the holders of all outstanding shares of Class A Common Stock, ratably in proportion to the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shares of Class A Common Stock. Without limiting the rights of the holders of Class B Common Stock to exchange their shares of Class B Common Stock, together with the corresponding OpCo Units constituting the remainder of any Paired Interests in which such shares are included, for shares of Class A Common Stock in accordance with the Exchange Agreement (or for the amounts payable in</w:t>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respect of shares of Class A Common Stock in such voluntary or involuntary liquidation, dissolution or winding-up), the holders of shares of Class B Common Stock, as such, will not be entitled to receive, with respect to such shares, any assets of the Corporation in excess of the Class B Liquidation Preference in the event of any voluntary or involuntary liquidation, dissolution or winding up of the affairs of the Corporation.</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Issuance and Transfers of Class B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1006"/>
        <w:spacing w:after="0" w:line="266" w:lineRule="auto"/>
        <w:tabs>
          <w:tab w:leader="none" w:pos="12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holder of Class B Common Stock may surrender such shares of Class B Common Stock to the Corporation for no consideration at any time. Following the surrender of any shares of Class B Common Stock to the Corporation, the Corporation will take all necessary actions to retire such shares and such shares will not be reissued by the Corporation.</w:t>
      </w:r>
    </w:p>
    <w:p>
      <w:pPr>
        <w:spacing w:after="0" w:line="67" w:lineRule="exact"/>
        <w:rPr>
          <w:rFonts w:ascii="Times New Roman" w:cs="Times New Roman" w:eastAsia="Times New Roman" w:hAnsi="Times New Roman"/>
          <w:sz w:val="18"/>
          <w:szCs w:val="18"/>
          <w:color w:val="auto"/>
        </w:rPr>
      </w:pPr>
    </w:p>
    <w:p>
      <w:pPr>
        <w:ind w:right="160" w:firstLine="1006"/>
        <w:spacing w:after="0" w:line="258" w:lineRule="auto"/>
        <w:tabs>
          <w:tab w:leader="none" w:pos="12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shares of Class B Common Stock may be issued except to a holder of OpCo Units, such that after such issuance of Class B Common Stock such holder of OpCo Units holds an identical number of OpCo Units and shares of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shares of Class B Common Stock shall be cancelled in connection with a transfer of an equal number of shares of Class B Common Stock and OpCo Units in accordance with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and the provisions of the Exchange Agreement and the OpCo Limited Liability Company Agreement. Any stock certificate representing shares of Class B Common Stock shall include a legend referencing the transfer restrictions set forth herein.</w:t>
      </w:r>
    </w:p>
    <w:p>
      <w:pPr>
        <w:spacing w:after="0" w:line="75" w:lineRule="exact"/>
        <w:rPr>
          <w:rFonts w:ascii="Times New Roman" w:cs="Times New Roman" w:eastAsia="Times New Roman" w:hAnsi="Times New Roman"/>
          <w:sz w:val="18"/>
          <w:szCs w:val="18"/>
          <w:color w:val="auto"/>
        </w:rPr>
      </w:pPr>
    </w:p>
    <w:p>
      <w:pPr>
        <w:ind w:right="60" w:firstLine="1000"/>
        <w:spacing w:after="0" w:line="258"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of Class B Common Stock may transfer or assign shares of Class B Common Stock (or any legal or beneficial interest in such shares) to any person unless such holder transfers a corresponding number of OpCo Units to the same person in accordance with the provisions of the Exchange Agreement and the OpCo Limited Liability Company Agreement. If any outstanding share of Class B Common Stock ceases to be held by a holder of a corresponding OpCo Unit, such share shall automatically and without further action on the part of the Corporation or such holder be transferred to the Corporation for no consideration and retired.</w:t>
      </w:r>
    </w:p>
    <w:p>
      <w:pPr>
        <w:spacing w:after="0" w:line="75" w:lineRule="exact"/>
        <w:rPr>
          <w:rFonts w:ascii="Times New Roman" w:cs="Times New Roman" w:eastAsia="Times New Roman" w:hAnsi="Times New Roman"/>
          <w:sz w:val="18"/>
          <w:szCs w:val="18"/>
          <w:color w:val="auto"/>
        </w:rPr>
      </w:pPr>
    </w:p>
    <w:p>
      <w:pPr>
        <w:ind w:right="600" w:firstLine="1000"/>
        <w:spacing w:after="0" w:line="266"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OpCo Units are issued to any person, such holder of one or more OpCo Units shall have the right to acquire an equal number of fully paid and non-assessable shares of Class B Common Stock (subject to adjustment as set forth herein) for consideration equal to the aggregate par value thereof, to the same person to which such OpCo Units are issued.</w:t>
      </w:r>
    </w:p>
    <w:p>
      <w:pPr>
        <w:spacing w:after="0" w:line="176" w:lineRule="exact"/>
        <w:rPr>
          <w:sz w:val="20"/>
          <w:szCs w:val="20"/>
          <w:color w:val="auto"/>
        </w:rPr>
      </w:pPr>
    </w:p>
    <w:p>
      <w:pPr>
        <w:ind w:firstLine="992"/>
        <w:spacing w:after="0" w:line="255"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Shares Deliverable in Exchange</w:t>
      </w:r>
      <w:r>
        <w:rPr>
          <w:rFonts w:ascii="Times New Roman" w:cs="Times New Roman" w:eastAsia="Times New Roman" w:hAnsi="Times New Roman"/>
          <w:sz w:val="18"/>
          <w:szCs w:val="18"/>
          <w:color w:val="auto"/>
        </w:rPr>
        <w:t xml:space="preserve">. The Corporation will at all times reserve and keep available out of its authorized and unissued shares of Class A Common Stock, solely for the purpose of the issuance upon exchange of Paired Interests, the number of shares of Class A Common Stock that are issuable upon exchange of all outstanding Paired Interests pursuant to the Exchange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contained herein shall be construed to preclude the Corporation from satisfying its obligations in respect of any such exchange by delivery of purchased shares of Class A Common Stock (which may or may not be held in the treasury of the Corporation) or, at the Corporation’s election, cash of an equivalent value in accordance with the Exchange Agreement. Each share of Class A Common Stock that is issued upon the exchange of any Paired Interests will, upon issuance, be validly issued, fully paid and non-assessable.</w:t>
      </w:r>
    </w:p>
    <w:p>
      <w:pPr>
        <w:spacing w:after="0" w:line="189" w:lineRule="exact"/>
        <w:rPr>
          <w:sz w:val="20"/>
          <w:szCs w:val="20"/>
          <w:color w:val="auto"/>
        </w:rPr>
      </w:pPr>
    </w:p>
    <w:p>
      <w:pPr>
        <w:ind w:right="40" w:firstLine="992"/>
        <w:spacing w:after="0" w:line="254"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Reclassifications</w:t>
      </w:r>
      <w:r>
        <w:rPr>
          <w:rFonts w:ascii="Times New Roman" w:cs="Times New Roman" w:eastAsia="Times New Roman" w:hAnsi="Times New Roman"/>
          <w:sz w:val="18"/>
          <w:szCs w:val="18"/>
          <w:color w:val="auto"/>
        </w:rPr>
        <w:t>. In the event of a reclassification, recapitalization or other similar transaction as a result of which the shares of Class A Common Stock are converted into or exchanged for another security, cash or any other property, then a holder of shares of Class B Common Stock shall be entitled to receive upon conversion or exchange of such shares (together with an equal number of OpCo Units) the number of such securities or the amount of cash or other property that such holder would have received if such conversion or exchange had occurred immediately prior to the record date of such reclassification, recapitalization or other similar transaction, taking into account any adjustment as a result of any subdivision (by any stock split or dividend, reclassification or otherwise) or combination (by reverse stock split, reclassification or otherwise) of such security that occurs after the effective time of such reclassification, recapitalization or other similar transaction or, at the Corporation’s election, cash of an equivalent value in accordance with the Exchange Agreement.</w:t>
      </w:r>
    </w:p>
    <w:p>
      <w:pPr>
        <w:sectPr>
          <w:pgSz w:w="11900" w:h="16838" w:orient="portrait"/>
          <w:cols w:equalWidth="0" w:num="1">
            <w:col w:w="11240"/>
          </w:cols>
          <w:pgMar w:left="320" w:top="1440"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RELATED PARTY TRANSACTIONS AND CORPORATE OPPORTUNITIES</w:t>
      </w:r>
    </w:p>
    <w:p>
      <w:pPr>
        <w:spacing w:after="0" w:line="207" w:lineRule="exact"/>
        <w:rPr>
          <w:sz w:val="20"/>
          <w:szCs w:val="20"/>
          <w:color w:val="auto"/>
        </w:rPr>
      </w:pPr>
    </w:p>
    <w:p>
      <w:pPr>
        <w:jc w:val="both"/>
        <w:ind w:right="360" w:firstLine="992"/>
        <w:spacing w:after="0" w:line="266" w:lineRule="auto"/>
        <w:rPr>
          <w:sz w:val="20"/>
          <w:szCs w:val="20"/>
          <w:color w:val="auto"/>
        </w:rPr>
      </w:pPr>
      <w:r>
        <w:rPr>
          <w:rFonts w:ascii="Times New Roman" w:cs="Times New Roman" w:eastAsia="Times New Roman" w:hAnsi="Times New Roman"/>
          <w:sz w:val="18"/>
          <w:szCs w:val="18"/>
          <w:color w:val="auto"/>
        </w:rPr>
        <w:t xml:space="preserve">The following provisions have been inserted in recognition of the facts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of this Certificate and are inserted for the management of the business and for the conduct of the affairs of the Corporation, in furtherance of and not in limitation of the powers conferred by law:</w:t>
      </w:r>
    </w:p>
    <w:p>
      <w:pPr>
        <w:spacing w:after="0" w:line="68" w:lineRule="exact"/>
        <w:rPr>
          <w:sz w:val="20"/>
          <w:szCs w:val="20"/>
          <w:color w:val="auto"/>
        </w:rPr>
      </w:pPr>
    </w:p>
    <w:p>
      <w:pPr>
        <w:ind w:right="120" w:firstLine="992"/>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contract or other transaction of the Corporation with any other person, firm, corporation or other entity in which the Corporation has an interest, shall be invalidated by the fact that any one or more of the directors or officers of the Corporation, individually or jointly with others, may be a party to or may be interested in any contract or transaction so long as the contract or other transaction is approved by the Board in accordance with the DGCL.</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Corporate Opportunities.</w:t>
      </w:r>
    </w:p>
    <w:p>
      <w:pPr>
        <w:spacing w:after="0" w:line="117" w:lineRule="exact"/>
        <w:rPr>
          <w:sz w:val="20"/>
          <w:szCs w:val="20"/>
          <w:color w:val="auto"/>
        </w:rPr>
      </w:pPr>
    </w:p>
    <w:p>
      <w:pPr>
        <w:ind w:firstLine="1000"/>
        <w:spacing w:after="0" w:line="253"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and anticipation that (i) certain directors, principals, officers, employees and/or other representatives of Diamondback Energy, Inc. (“</w:t>
      </w:r>
      <w:r>
        <w:rPr>
          <w:rFonts w:ascii="Times New Roman" w:cs="Times New Roman" w:eastAsia="Times New Roman" w:hAnsi="Times New Roman"/>
          <w:sz w:val="18"/>
          <w:szCs w:val="18"/>
          <w:b w:val="1"/>
          <w:bCs w:val="1"/>
          <w:i w:val="1"/>
          <w:iCs w:val="1"/>
          <w:color w:val="auto"/>
        </w:rPr>
        <w:t>Diamondback</w:t>
      </w:r>
      <w:r>
        <w:rPr>
          <w:rFonts w:ascii="Times New Roman" w:cs="Times New Roman" w:eastAsia="Times New Roman" w:hAnsi="Times New Roman"/>
          <w:sz w:val="18"/>
          <w:szCs w:val="18"/>
          <w:color w:val="auto"/>
        </w:rPr>
        <w:t>”) and its respective Affiliates (defined below) may serve as directors or officers of the Corporation, (ii) Diamondback and its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who are not employees or officers of the Corporation (“</w:t>
      </w:r>
      <w:r>
        <w:rPr>
          <w:rFonts w:ascii="Times New Roman" w:cs="Times New Roman" w:eastAsia="Times New Roman" w:hAnsi="Times New Roman"/>
          <w:sz w:val="18"/>
          <w:szCs w:val="18"/>
          <w:b w:val="1"/>
          <w:bCs w:val="1"/>
          <w:i w:val="1"/>
          <w:iCs w:val="1"/>
          <w:color w:val="auto"/>
        </w:rPr>
        <w:t>Non-Employee Directors</w:t>
      </w:r>
      <w:r>
        <w:rPr>
          <w:rFonts w:ascii="Times New Roman" w:cs="Times New Roman" w:eastAsia="Times New Roman" w:hAnsi="Times New Roman"/>
          <w:sz w:val="18"/>
          <w:szCs w:val="18"/>
          <w:color w:val="auto"/>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are set forth to regulate and define the conduct of certain affairs of the Corporation with respect to certain classes or categories of business opportunities as they may involve Diamondback, the Non-Employee Directors or their respective Affiliates and the powers, rights, duties and liabilities of the Corporation and its directors, officers and stockholders in connection therewith.</w:t>
      </w:r>
    </w:p>
    <w:p>
      <w:pPr>
        <w:spacing w:after="0" w:line="86" w:lineRule="exact"/>
        <w:rPr>
          <w:rFonts w:ascii="Times New Roman" w:cs="Times New Roman" w:eastAsia="Times New Roman" w:hAnsi="Times New Roman"/>
          <w:sz w:val="18"/>
          <w:szCs w:val="18"/>
          <w:color w:val="auto"/>
        </w:rPr>
      </w:pPr>
    </w:p>
    <w:p>
      <w:pPr>
        <w:ind w:firstLine="1000"/>
        <w:spacing w:after="0" w:line="252"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Diamondback or any of its Affiliates or (ii) any Non-Employee Director or his or her Affiliates (the persons identified in (i) and (ii) above being referred to, collectively, as “</w:t>
      </w:r>
      <w:r>
        <w:rPr>
          <w:rFonts w:ascii="Times New Roman" w:cs="Times New Roman" w:eastAsia="Times New Roman" w:hAnsi="Times New Roman"/>
          <w:sz w:val="18"/>
          <w:szCs w:val="18"/>
          <w:b w:val="1"/>
          <w:bCs w:val="1"/>
          <w:i w:val="1"/>
          <w:iCs w:val="1"/>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 Person</w:t>
      </w:r>
      <w:r>
        <w:rPr>
          <w:rFonts w:ascii="Times New Roman" w:cs="Times New Roman" w:eastAsia="Times New Roman" w:hAnsi="Times New Roman"/>
          <w:sz w:val="18"/>
          <w:szCs w:val="18"/>
          <w:color w:val="auto"/>
        </w:rPr>
        <w:t xml:space="preserve">”) shall have any duty to refrain from directly or indirectly (x) engaging in a corporate opportunity in the same or similar business activities or lines of business in which the Corporation or any of its subsidiaries now engages or proposes to engage or (y) otherwise competing with the Corporation, and, to the fullest extent permitted by the DGCL, no Identified Person shall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in each case, by reason of the fact that such Identified Person engages in any such activities. The Corporation hereby renounces any interest or expectancy in, or in being offered an opportunity to participate in, any business opportunity which may be a corporate opportunity for an Identified Person and the Corporation or any of its subsidiaries, except as provided in paragraph (c)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In the event that any Identified Person acquires knowledge of a potential transaction or other business opportunity which may be a corporate opportunity for itself or himself and the Corporation or any of its subsidiaries, such Identified Person shall have no duty to communicate or offer such transaction or other business opportunity to the Corporation or any of its subsidiaries and, to the fullest extent permitted by the DGCL, shall not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as a stockholder, director or officer of the Corporation, in each case, by reason of the fact that such Identified Person pursues or acquires such corporate opportunity for itself or himself, or offers or directs such corporate opportunity to another Person.</w:t>
      </w:r>
    </w:p>
    <w:p>
      <w:pPr>
        <w:spacing w:after="0" w:line="86" w:lineRule="exact"/>
        <w:rPr>
          <w:rFonts w:ascii="Times New Roman" w:cs="Times New Roman" w:eastAsia="Times New Roman" w:hAnsi="Times New Roman"/>
          <w:sz w:val="18"/>
          <w:szCs w:val="18"/>
          <w:color w:val="auto"/>
        </w:rPr>
      </w:pPr>
    </w:p>
    <w:p>
      <w:pPr>
        <w:ind w:right="180" w:firstLine="1000"/>
        <w:spacing w:after="0" w:line="266"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does not renounce its interest in any corporate opportunity offered to any Non-Employee Director (including any Non-Employee Director who serves as an officer of the Corporation) if such opportunity is expressly offered to such person solely in his or her capacity as a director of the Corporation and the provisions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shall not apply to any such corporate opportunity.</w:t>
      </w:r>
    </w:p>
    <w:p>
      <w:pPr>
        <w:sectPr>
          <w:pgSz w:w="11900" w:h="16838" w:orient="portrait"/>
          <w:cols w:equalWidth="0" w:num="1">
            <w:col w:w="11200"/>
          </w:cols>
          <w:pgMar w:left="320" w:top="1413" w:right="379" w:bottom="1440" w:gutter="0" w:footer="0" w:header="0"/>
        </w:sectPr>
      </w:pPr>
    </w:p>
    <w:bookmarkStart w:id="9" w:name="page10"/>
    <w:bookmarkEnd w:id="9"/>
    <w:p>
      <w:pPr>
        <w:spacing w:after="0" w:line="86" w:lineRule="exact"/>
        <w:rPr>
          <w:sz w:val="20"/>
          <w:szCs w:val="20"/>
          <w:color w:val="auto"/>
        </w:rPr>
      </w:pPr>
    </w:p>
    <w:p>
      <w:pPr>
        <w:ind w:right="140" w:firstLine="1000"/>
        <w:spacing w:after="0" w:line="261"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notwithstanding the foregoing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 corporate opportunity shall not be deemed to be a potential corporate opportunity for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67" w:lineRule="exact"/>
        <w:rPr>
          <w:rFonts w:ascii="Times New Roman" w:cs="Times New Roman" w:eastAsia="Times New Roman" w:hAnsi="Times New Roman"/>
          <w:sz w:val="18"/>
          <w:szCs w:val="18"/>
          <w:color w:val="auto"/>
        </w:rPr>
      </w:pPr>
    </w:p>
    <w:p>
      <w:pPr>
        <w:ind w:right="80" w:firstLine="1000"/>
        <w:spacing w:after="0" w:line="257"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(i) in respect of Diamondback, any person that, directly or indirectly, is controlled by Diamondback, controls Diamondback or is under common control with Diamondback and shall include any principal member, director, partner, shareholder, officer, employee or other representative of any of the foregoing (other than the Corporation and any entity that is controlled by the Corporation), (ii) in respect of a Non-Employee Director, any person that, directly or indirectly, is controlled by such Non-Employee Director (other than the Corporation and any entity that is controlled by the Corporation) and (iii) in respect of the Corporation, any person that, directly or indirectly, is controlled by the Corporation other than a person who is an Affiliate of Diamondback pursuant to clause (i) of this paragraph.</w:t>
      </w:r>
    </w:p>
    <w:p>
      <w:pPr>
        <w:spacing w:after="0" w:line="78" w:lineRule="exact"/>
        <w:rPr>
          <w:rFonts w:ascii="Times New Roman" w:cs="Times New Roman" w:eastAsia="Times New Roman" w:hAnsi="Times New Roman"/>
          <w:sz w:val="18"/>
          <w:szCs w:val="18"/>
          <w:color w:val="auto"/>
        </w:rPr>
      </w:pPr>
    </w:p>
    <w:p>
      <w:pPr>
        <w:ind w:right="480" w:firstLine="1000"/>
        <w:spacing w:after="0" w:line="282" w:lineRule="auto"/>
        <w:tabs>
          <w:tab w:leader="none" w:pos="12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any person purchasing or otherwise acquiring any interest in any shares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right="40" w:firstLine="992"/>
        <w:spacing w:after="0" w:line="25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Board Powers</w:t>
      </w:r>
      <w:r>
        <w:rPr>
          <w:rFonts w:ascii="Times New Roman" w:cs="Times New Roman" w:eastAsia="Times New Roman" w:hAnsi="Times New Roman"/>
          <w:sz w:val="18"/>
          <w:szCs w:val="18"/>
          <w:color w:val="auto"/>
        </w:rPr>
        <w:t>. Except as otherwise provided in this Certificate, the business and affairs of the Corporation shall be managed by, or under the direction of, the Board. In addition to the powers and authority expressly conferred upon the Board by statute, this Certificate or the Bylaws of the Corporation (as amended 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Board is hereby empowered to exercise all such powers and do all such acts and things as may be exercised or done by the Corporation, subject, nevertheless, to the provisions of the DGCL and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Bylaws hereafter adopted by the stockholders shall invalidate any prior act of the Board that would have been valid if such Bylaws had not been adopted.</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Number, Election and Term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1000"/>
        <w:spacing w:after="0" w:line="261"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constituting the Board shall be not fewer than three nor more than twelve. Subject to the previous sentence, the precise number of directors of the Corporation, other than those who may be elected by the holders of one or more series of Preferred Stock voting separately by class or series, shall be fixed from time to time exclusively pursuant to a resolution adopted by a majority of the Whole Board. For purposes of this Certificate,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mean the total number of directors the Corporation would have if there were no vacancies.</w:t>
      </w:r>
    </w:p>
    <w:p>
      <w:pPr>
        <w:spacing w:after="0" w:line="71" w:lineRule="exact"/>
        <w:rPr>
          <w:rFonts w:ascii="Times New Roman" w:cs="Times New Roman" w:eastAsia="Times New Roman" w:hAnsi="Times New Roman"/>
          <w:sz w:val="18"/>
          <w:szCs w:val="18"/>
          <w:color w:val="auto"/>
        </w:rPr>
      </w:pPr>
    </w:p>
    <w:p>
      <w:pPr>
        <w:ind w:firstLine="1000"/>
        <w:spacing w:after="0" w:line="282"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53" w:lineRule="exact"/>
        <w:rPr>
          <w:rFonts w:ascii="Times New Roman" w:cs="Times New Roman" w:eastAsia="Times New Roman" w:hAnsi="Times New Roman"/>
          <w:sz w:val="18"/>
          <w:szCs w:val="18"/>
          <w:color w:val="auto"/>
        </w:rPr>
      </w:pPr>
    </w:p>
    <w:p>
      <w:pPr>
        <w:ind w:left="1240" w:hanging="240"/>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ind w:right="100" w:firstLine="992"/>
        <w:spacing w:after="0" w:line="25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newly created directorships resulting from an increase in the number of directors and any vacancies on the Board resulting from death, resignation, retirement, disqualification, removal or other cause may be filled solely by a majority vote of the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87" w:lineRule="exact"/>
        <w:rPr>
          <w:sz w:val="20"/>
          <w:szCs w:val="20"/>
          <w:color w:val="auto"/>
        </w:rPr>
      </w:pPr>
    </w:p>
    <w:p>
      <w:pPr>
        <w:ind w:right="20" w:firstLine="992"/>
        <w:spacing w:after="0" w:line="28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any or all of the directors may be removed from office at any time, with or without cause, by the affirmative vote of the holders of at least a majority of the voting power of</w:t>
      </w:r>
    </w:p>
    <w:p>
      <w:pPr>
        <w:sectPr>
          <w:pgSz w:w="11900" w:h="16838" w:orient="portrait"/>
          <w:cols w:equalWidth="0" w:num="1">
            <w:col w:w="11220"/>
          </w:cols>
          <w:pgMar w:left="320" w:top="1440" w:right="359" w:bottom="1440" w:gutter="0" w:footer="0" w:header="0"/>
        </w:sectPr>
      </w:pPr>
    </w:p>
    <w:bookmarkStart w:id="10" w:name="page11"/>
    <w:bookmarkEnd w:id="10"/>
    <w:p>
      <w:pPr>
        <w:spacing w:after="0" w:line="1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then outstanding shares of capital stock of the Corporation entitled to vote thereon, voting together as a single class and acting at a meeting of the stockholders called and held in accordance with the DGCL, this Certificate and the Bylaws.</w:t>
      </w:r>
    </w:p>
    <w:p>
      <w:pPr>
        <w:spacing w:after="0" w:line="162" w:lineRule="exact"/>
        <w:rPr>
          <w:sz w:val="20"/>
          <w:szCs w:val="20"/>
          <w:color w:val="auto"/>
        </w:rPr>
      </w:pPr>
    </w:p>
    <w:p>
      <w:pPr>
        <w:ind w:right="160" w:firstLine="992"/>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Preferred Stock - Directors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except as otherwise required by law, whenever the holders of one or more series of Preferred Stock shall have the right, voting separately by class or series, to elect one or more directors, the term of office, the filling of vacancies, the removal from office and other features of such directorships shall be governed by the terms of such series of Preferred Stock as set forth in this Certificate (including any Preferred Stock Designation) and such directors shall not be included in any of the classes created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unless expressly provided by such terms.</w:t>
      </w:r>
    </w:p>
    <w:p>
      <w:pPr>
        <w:spacing w:after="0" w:line="14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Rights with respect to Diamondback Designees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1000"/>
        <w:spacing w:after="0" w:line="261"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annual or special meeting of stockholders of the Corporation at which directors are elected (or any action by stockholder consent to elect directors in lieu of a stockholder meeting), for so long as the Diamondback Entities collectively beneficially own at least 25% of the outstanding Common Stock, Diamondback shall have the right to designate up to three persons to serve as directors of the Corporation (any person so designated, a “</w:t>
      </w:r>
      <w:r>
        <w:rPr>
          <w:rFonts w:ascii="Times New Roman" w:cs="Times New Roman" w:eastAsia="Times New Roman" w:hAnsi="Times New Roman"/>
          <w:sz w:val="18"/>
          <w:szCs w:val="18"/>
          <w:b w:val="1"/>
          <w:bCs w:val="1"/>
          <w:i w:val="1"/>
          <w:iCs w:val="1"/>
          <w:color w:val="auto"/>
        </w:rPr>
        <w:t>Diamondback Designee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20" w:firstLine="1000"/>
        <w:spacing w:after="0" w:line="25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there are two Diamondback Designees: Travis D. Stice and Kaes Van’t Hof, and the size of the Board shall be increased to allow for the election or appointment, as applicable, of any additional Diamondback Designees. In the event of the removal, death or resignation of a Diamondback Designee, Diamondback shall have the right to designate a replacement Diamondback Designee to fill the resulting vacant directorship. Before the expiration of a Diamondback Designee’s term of office at a meeting of stockholders (or pursuant to a stockholder consent in lieu of a meeting), Diamondback may designate a successor Diamondback Designee as a replacement to serve as a director upon the expiration of the term of the predecessor designee.</w:t>
      </w:r>
    </w:p>
    <w:p>
      <w:pPr>
        <w:spacing w:after="0" w:line="79" w:lineRule="exact"/>
        <w:rPr>
          <w:rFonts w:ascii="Times New Roman" w:cs="Times New Roman" w:eastAsia="Times New Roman" w:hAnsi="Times New Roman"/>
          <w:sz w:val="18"/>
          <w:szCs w:val="18"/>
          <w:color w:val="auto"/>
        </w:rPr>
      </w:pPr>
    </w:p>
    <w:p>
      <w:pPr>
        <w:ind w:firstLine="1000"/>
        <w:spacing w:after="0" w:line="254"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Diamondback designates a Diamondback Designee to serve as a director of the Corporation pursuant to this Certificate of Incorporation, Diamondback will cause such designee to complete all questionnaires then required of the other directors of the Corporation and shall make the designee available for an interview with the Board or one of its authorized committees. The Board shall promptly nominate (in the case of a director election by stockholders) or appoint (in the case of a vacancy or newly created directorship) the Diamondback Designee as a director unless the Board withholds its consent to such designee,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consent shall not be unreasonably withheld. If the Board withholds its consent, the Board shall notify Diamondback of its objections to the Diamondback Designee in a writing that explains with reasonable detail the basis for withholding consent. If the Board reasonably withholds its consent, Diamondback shall designate a substitute person as a Diamondback Designee who shall be nominated (in the case of a director election by stockholders) or appointed (in the case of a vacancy or newly created directorship) as a director of the Corporation by the Board in accordance with, and subject to, this paragraph.</w:t>
      </w:r>
    </w:p>
    <w:p>
      <w:pPr>
        <w:spacing w:after="0" w:line="80" w:lineRule="exact"/>
        <w:rPr>
          <w:rFonts w:ascii="Times New Roman" w:cs="Times New Roman" w:eastAsia="Times New Roman" w:hAnsi="Times New Roman"/>
          <w:sz w:val="18"/>
          <w:szCs w:val="18"/>
          <w:color w:val="auto"/>
        </w:rPr>
      </w:pPr>
    </w:p>
    <w:p>
      <w:pPr>
        <w:jc w:val="both"/>
        <w:ind w:right="220" w:firstLine="1000"/>
        <w:spacing w:after="0" w:line="26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rights provided to Diamondback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are not exclusive, and Diamondback shall have the same rights and privileges that are accorded to other stockholders with respect to the nomination, election and removal of all directors and may exercise any rights or privileges of proxy access accorded to stockholders under this Certificate of Incorporation, the Bylaws or applicable law.</w:t>
      </w:r>
    </w:p>
    <w:p>
      <w:pPr>
        <w:spacing w:after="0" w:line="67" w:lineRule="exact"/>
        <w:rPr>
          <w:rFonts w:ascii="Times New Roman" w:cs="Times New Roman" w:eastAsia="Times New Roman" w:hAnsi="Times New Roman"/>
          <w:sz w:val="18"/>
          <w:szCs w:val="18"/>
          <w:color w:val="auto"/>
        </w:rPr>
      </w:pPr>
    </w:p>
    <w:p>
      <w:pPr>
        <w:ind w:right="40" w:firstLine="1000"/>
        <w:spacing w:after="0" w:line="266"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provisions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have been inserted in this Certificate of Incorporation in accordance with Section 141(a) of the DGCL. The Board of Directors is hereby directed to comply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the business and affairs of the Corporation shall be managed by or at the direction of the Board of Directors constituted, appointed and elected in accordance with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including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ind w:right="20" w:firstLine="1000"/>
        <w:spacing w:after="0" w:line="256" w:lineRule="auto"/>
        <w:tabs>
          <w:tab w:leader="none" w:pos="12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Corporation solicits proxy or consent materials for the election of directors, the Corporation shall include in its proxy or consent materials, and on each proxy or consent card, each Diamondback Designee, irrespective of whether the Board has reasonably withheld its consent to the Diamondback Designee’s appointment as a director or nomination for director election. The proxy materials shall also contain a statement by Diamondback in favor of each Diamondback Designee,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Diamondback shall be solely responsible for any liability relating to any inaccuracy in such statement. Neither Diamondback, nor any Diamondback Designee, shall be subject to the provisions in the Bylaws that (but for this Article) would otherwise apply for the nomination</w:t>
      </w:r>
    </w:p>
    <w:p>
      <w:pPr>
        <w:sectPr>
          <w:pgSz w:w="11900" w:h="16838" w:orient="portrait"/>
          <w:cols w:equalWidth="0" w:num="1">
            <w:col w:w="11160"/>
          </w:cols>
          <w:pgMar w:left="320" w:top="1440" w:right="419" w:bottom="1440" w:gutter="0" w:footer="0" w:header="0"/>
        </w:sectPr>
      </w:pPr>
    </w:p>
    <w:bookmarkStart w:id="11" w:name="page12"/>
    <w:bookmarkEnd w:id="11"/>
    <w:p>
      <w:pPr>
        <w:ind w:right="400"/>
        <w:spacing w:after="0" w:line="282" w:lineRule="auto"/>
        <w:rPr>
          <w:sz w:val="20"/>
          <w:szCs w:val="20"/>
          <w:color w:val="auto"/>
        </w:rPr>
      </w:pPr>
      <w:r>
        <w:rPr>
          <w:rFonts w:ascii="Times New Roman" w:cs="Times New Roman" w:eastAsia="Times New Roman" w:hAnsi="Times New Roman"/>
          <w:sz w:val="18"/>
          <w:szCs w:val="18"/>
          <w:color w:val="auto"/>
        </w:rPr>
        <w:t>by stockholders of candidates for director election or that would otherwise apply to allow stockholders to include such candidates in the Corporation’s proxy materials or on its proxy card.</w:t>
      </w:r>
    </w:p>
    <w:p>
      <w:pPr>
        <w:spacing w:after="0" w:line="54" w:lineRule="exact"/>
        <w:rPr>
          <w:sz w:val="20"/>
          <w:szCs w:val="20"/>
          <w:color w:val="auto"/>
        </w:rPr>
      </w:pPr>
    </w:p>
    <w:p>
      <w:pPr>
        <w:ind w:firstLine="1000"/>
        <w:spacing w:after="0" w:line="255"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apply notwithstanding any other provision of this Certificate of Incorporation to the contrary. In addition to any other vote required or provided by law, any amendment, alteration or repeal of, or the adoption of any provision inconsistent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in each case, whether by merger, consolidation, conversion or otherwise, shall require the affirmative vote of the holders of at least 75% of the voting power of the Class A Common Stock and Class B Common Stock, considered together as one class. From and after the first date that the Diamondback Entities collectively beneficially own less than 25% of the outstanding Common Stock,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no longer be effective and shall be rendered inoperative, except that any Diamondback Designee then serving as a director of the Corporation shall serve the remainder of his or her term of office and shall continue in office until his or her resignation or removal or until a successor is elected and qualified.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ind w:firstLine="992"/>
        <w:spacing w:after="0" w:line="256"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upon it by law, the Board shall have the power to adopt, amend, alter or repeal the Bylaws. The affirmative vote of a majority of the Whole Board shall be required to adopt, amend, alter or repeal the Bylaws. The Bylaws also may be adopted, amended, altered or repealed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addition to any vote of the holders of any class or series of capital stock of the Corporation required by law or by this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7" w:lineRule="exact"/>
        <w:rPr>
          <w:sz w:val="20"/>
          <w:szCs w:val="20"/>
          <w:color w:val="auto"/>
        </w:rPr>
      </w:pPr>
    </w:p>
    <w:p>
      <w:pPr>
        <w:ind w:right="20" w:firstLine="992"/>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 Action by Written Consent</w:t>
      </w:r>
      <w:r>
        <w:rPr>
          <w:rFonts w:ascii="Times New Roman" w:cs="Times New Roman" w:eastAsia="Times New Roman" w:hAnsi="Times New Roman"/>
          <w:sz w:val="18"/>
          <w:szCs w:val="18"/>
          <w:color w:val="auto"/>
        </w:rPr>
        <w:t>. Except as otherwise expressly provided by the terms of any series of Preferred Stock permitting the holders of such series of Preferred Stock to act by written consent, any action required or permitted to be taken by stockholders of the Corporation must be effected at a duly called annual or special meeting of the stockholders, unless the Board approves in advance the taking of such action by means of written consent of the stockholders.</w:t>
      </w:r>
    </w:p>
    <w:p>
      <w:pPr>
        <w:spacing w:after="0" w:line="1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Except as otherwise required by law or the terms of any one or more series of Preferred Stock, special meetings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stockholders of the Corporation may be called by any of the following: (i) at any time by the Chairman of the Board, the Chief Executive Officer,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pursuant to a resolution adopted by a majority of the Whole Board; and (ii) subject to the procedures and limitations set forth in the Bylaws,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or the Board following receipt by the Secretary of the Corporation of the written request (which request shall comply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and procedures set forth in the Bylaws) of one or more stockholders of the Corporation (acting on their own behalf and not by assigning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delegating their rights to any other person or entity) that together have continuously held, for their own accounts, beneficial ownership of at least 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“net long position” of the issued and outstanding voting stock of the Corporation entitled to vote generally in the election of directors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Requisite Percent</w:t>
      </w:r>
      <w:r>
        <w:rPr>
          <w:rFonts w:ascii="Times New Roman" w:cs="Times New Roman" w:eastAsia="Times New Roman" w:hAnsi="Times New Roman"/>
          <w:sz w:val="18"/>
          <w:szCs w:val="18"/>
          <w:color w:val="auto"/>
        </w:rPr>
        <w:t>”) for at least one year prior to the date such request is delivered to the Corporation and at the special meeting date.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the Requisite Percent, “net long position” shall be determined with respect to each requesting stockholder by subtracting such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position from such stockholder’s long position, based on Rule 14e-4 under the Securities Exchange Act of 1934, as amended (as such Rule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from time to time or, if applicable, any successor Rule), provided that: (A) for the purposes of such definition, reference in such Rule to: (1)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that a tender offer is first publicly announced or otherwise made known by the bidder to holders of the security to be acquired” shall be the date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special meeting request; (2) the “highest tender offer price or stated amount of the consideration offered for</w:t>
      </w:r>
    </w:p>
    <w:p>
      <w:pPr>
        <w:sectPr>
          <w:pgSz w:w="11900" w:h="16838" w:orient="portrait"/>
          <w:cols w:equalWidth="0" w:num="1">
            <w:col w:w="11220"/>
          </w:cols>
          <w:pgMar w:left="320" w:top="1417" w:right="359" w:bottom="1440" w:gutter="0" w:footer="0" w:header="0"/>
        </w:sectPr>
      </w:pPr>
    </w:p>
    <w:bookmarkStart w:id="12" w:name="page13"/>
    <w:bookmarkEnd w:id="12"/>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the subject security” shall refer to the closing sales price of the Corporation’s common stock on the primary securities exchange on which such stock is listed on such date (or, if such date is not a trading day, the next succeeding trading day); (3) the “person whose securities are the subject of the offer” shall refer to the Corporation; and (4) a “subject security” shall refer to the issued and outstanding voting stock of the Corporation; and (B) the net long position of such stockholder shall be reduced by the number of shares as to which such stockholder does not, or will not, have the right to vote on its own behalf at the special meeting or as to which such stockholder has entered into any derivative or other agreement, arrangement, or understanding that hedges or transfers, in whole or in part, directly or indirectly, any of the economic consequences of ownership of such shares. Special meetings of stockholders of the Corporation may not be called by any person or persons other than those specified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600" w:firstLine="992"/>
        <w:spacing w:after="0" w:line="28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 OF DIRECTOR LIABILITY; INDEMNIFICATION AND ADVANCEMENT OF EXPENSES</w:t>
      </w:r>
    </w:p>
    <w:p>
      <w:pPr>
        <w:spacing w:after="0" w:line="207" w:lineRule="exact"/>
        <w:rPr>
          <w:sz w:val="20"/>
          <w:szCs w:val="20"/>
          <w:color w:val="auto"/>
        </w:rPr>
      </w:pPr>
    </w:p>
    <w:p>
      <w:pPr>
        <w:ind w:right="80" w:firstLine="992"/>
        <w:spacing w:after="0" w:line="254"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Limitation of Director and Officer Liability</w:t>
      </w:r>
      <w:r>
        <w:rPr>
          <w:rFonts w:ascii="Times New Roman" w:cs="Times New Roman" w:eastAsia="Times New Roman" w:hAnsi="Times New Roman"/>
          <w:sz w:val="18"/>
          <w:szCs w:val="18"/>
          <w:color w:val="auto"/>
        </w:rPr>
        <w:t xml:space="preserve">. To the fullest extent that the DGCL or any other law of the State of Delaware (as the same exists or is hereafter amended) permits the limitation or elimination of the liability of directors or officers, no person who is or was a director or officer of the Corporation shall be personally liable to the Corporation or any of its stockholders for monetary damages for breach of fiduciary duty as a director or officer, as applicable. Any repeal or amendment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by the stockholders of the Corporation or by changes in law, or the adoption of any other provision of this Certificate inconsistent with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will, unless otherwise required by law, be prospective only (except to the extent such amendment or change in law permits the Corporation to further limit or eliminate the liability of directors and/or officers) and shall not adversely affect any right or protection of a director or officer of the Corporation existing at the time of such repeal or amendment or adoption of such inconsistent provision with respect to acts or omissions occurring prior to such repeal or amendment or adoption of such inconsistent provision. Solely for purposes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“officer” shall have the meaning determined in accordance with Section 102(b)(7) of the DGCL, as amended from time to time.</w:t>
      </w:r>
    </w:p>
    <w:p>
      <w:pPr>
        <w:spacing w:after="0" w:line="18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000"/>
        <w:spacing w:after="0" w:line="252"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expenses, liability and loss (including, without limitation, attorneys’ fees, judgments, fines, ERISA excise taxes and penalties and amounts paid in settlement) reasonably incurred or suffered by such indemnitee in connection with such proceeding. The right to indemnification conferred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include the right to be paid by the Corporation the expenses incurred in defending or otherwise participating in any such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DGCL requires, an advancement of expenses shall be made only upon delivery to the Corporation of an undertaking, by or on behalf of the indemnitee, to repay all amounts so advanced if it shall ultimately be determined by final judicial decision from which there is no further right to appeal that the indemnitee is not entitled to be indemnified for the expenses under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otherwise. The rights to indemnification and advancement of expenses conferred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contract rights and such</w:t>
      </w:r>
    </w:p>
    <w:p>
      <w:pPr>
        <w:sectPr>
          <w:pgSz w:w="11900" w:h="16838" w:orient="portrait"/>
          <w:cols w:equalWidth="0" w:num="1">
            <w:col w:w="11240"/>
          </w:cols>
          <w:pgMar w:left="320" w:top="1417" w:right="339" w:bottom="1440" w:gutter="0" w:footer="0" w:header="0"/>
        </w:sectPr>
      </w:pPr>
    </w:p>
    <w:bookmarkStart w:id="13" w:name="page14"/>
    <w:bookmarkEnd w:id="13"/>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rights shall continue as to an indemnitee who has ceased to be a director, officer, employee or agent and shall inure to the benefit of his or her heirs, executors and administrators. Notwithstanding the foregoing provisions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72" w:lineRule="exact"/>
        <w:rPr>
          <w:sz w:val="20"/>
          <w:szCs w:val="20"/>
          <w:color w:val="auto"/>
        </w:rPr>
      </w:pPr>
    </w:p>
    <w:p>
      <w:pPr>
        <w:ind w:right="100" w:firstLine="1000"/>
        <w:spacing w:after="0" w:line="266"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advancement of expenses conferred on any indemnitee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not be exclusive of any other rights that any indemnitee may have or hereafter acquire under law, this Certificate, the Bylaws, an agreement, vote of stockholders or disinterested directors, or otherwise.</w:t>
      </w:r>
    </w:p>
    <w:p>
      <w:pPr>
        <w:spacing w:after="0" w:line="67" w:lineRule="exact"/>
        <w:rPr>
          <w:rFonts w:ascii="Times New Roman" w:cs="Times New Roman" w:eastAsia="Times New Roman" w:hAnsi="Times New Roman"/>
          <w:sz w:val="18"/>
          <w:szCs w:val="18"/>
          <w:color w:val="auto"/>
        </w:rPr>
      </w:pPr>
    </w:p>
    <w:p>
      <w:pPr>
        <w:ind w:right="180" w:firstLine="1000"/>
        <w:spacing w:after="0" w:line="258"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repeal or amendment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by the stockholders of the Corporation or by changes in law, or the adoption of any other provision of this Certificate inconsistent with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75" w:lineRule="exact"/>
        <w:rPr>
          <w:rFonts w:ascii="Times New Roman" w:cs="Times New Roman" w:eastAsia="Times New Roman" w:hAnsi="Times New Roman"/>
          <w:sz w:val="18"/>
          <w:szCs w:val="18"/>
          <w:color w:val="auto"/>
        </w:rPr>
      </w:pPr>
    </w:p>
    <w:p>
      <w:pPr>
        <w:ind w:right="160" w:firstLine="1000"/>
        <w:spacing w:after="0" w:line="282"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p>
      <w:pPr>
        <w:spacing w:after="0" w:line="234" w:lineRule="exact"/>
        <w:rPr>
          <w:sz w:val="20"/>
          <w:szCs w:val="20"/>
          <w:color w:val="auto"/>
        </w:rPr>
      </w:pPr>
    </w:p>
    <w:p>
      <w:pPr>
        <w:ind w:right="40" w:firstLine="998"/>
        <w:spacing w:after="0" w:line="261"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alter, change or repeal any provision contained in this Certificate (including any Preferred Stock Designation), in the manner now or hereafter prescribed by this Certificate and the DGCL; and, except as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all rights, preferences and privileges herein conferred upon stockholders, directors, officers or any other persons by and pursuant to this Certificate in its present form or as hereafter amended are granted subject to the right reserved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SECTION 203</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Corporation shall not be governed by the provisions of Section 203 of the DGCL.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07" w:lineRule="exact"/>
        <w:rPr>
          <w:sz w:val="20"/>
          <w:szCs w:val="20"/>
          <w:color w:val="auto"/>
        </w:rPr>
      </w:pPr>
    </w:p>
    <w:p>
      <w:pPr>
        <w:ind w:firstLine="992"/>
        <w:spacing w:after="0" w:line="254" w:lineRule="auto"/>
        <w:rPr>
          <w:sz w:val="20"/>
          <w:szCs w:val="20"/>
          <w:color w:val="auto"/>
        </w:rPr>
      </w:pPr>
      <w:r>
        <w:rPr>
          <w:rFonts w:ascii="Times New Roman" w:cs="Times New Roman" w:eastAsia="Times New Roman" w:hAnsi="Times New Roman"/>
          <w:sz w:val="18"/>
          <w:szCs w:val="18"/>
          <w:color w:val="auto"/>
        </w:rPr>
        <w:t xml:space="preserve">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current or former director, officer, employee or stockholder of the Corporation to the Corporation or the Corporation’s stockholders; (iii) any action asserting a claim against the Corporation arising pursuant to any provision of the DGCL, this Certificate or Bylaws; or (iv) any action asserting a claim against the Corporation governed by the internal affairs doctrine. The foregoing sentence shall not apply to claims arising under the Securities Act of 1933, as amended, the Securities Exchange Act of 1934, as amended, or other federal securities laws for which there is exclusive federal or concurrent federal and state jurisdiction. Any person or entity purchasing or otherwise acquiring any interest in shares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have been adopted and effected in recognition that:</w:t>
      </w:r>
    </w:p>
    <w:p>
      <w:pPr>
        <w:spacing w:after="0" w:line="117" w:lineRule="exact"/>
        <w:rPr>
          <w:sz w:val="20"/>
          <w:szCs w:val="20"/>
          <w:color w:val="auto"/>
        </w:rPr>
      </w:pPr>
    </w:p>
    <w:p>
      <w:pPr>
        <w:ind w:left="1240" w:hanging="240"/>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engages in a line of business to own and acquire mineral and royalty interests in oil and natural gas properties.</w:t>
      </w:r>
    </w:p>
    <w:p>
      <w:pPr>
        <w:spacing w:after="0" w:line="117" w:lineRule="exact"/>
        <w:rPr>
          <w:rFonts w:ascii="Times New Roman" w:cs="Times New Roman" w:eastAsia="Times New Roman" w:hAnsi="Times New Roman"/>
          <w:sz w:val="18"/>
          <w:szCs w:val="18"/>
          <w:color w:val="auto"/>
        </w:rPr>
      </w:pPr>
    </w:p>
    <w:p>
      <w:pPr>
        <w:ind w:right="60" w:firstLine="1000"/>
        <w:spacing w:after="0" w:line="282"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entered into, and desires to continue to enter into, leases of its mineral or other oil and gas interests with one or more Diamondback Entities as the operator.</w:t>
      </w:r>
    </w:p>
    <w:p>
      <w:pPr>
        <w:spacing w:after="0" w:line="162" w:lineRule="exact"/>
        <w:rPr>
          <w:sz w:val="20"/>
          <w:szCs w:val="20"/>
          <w:color w:val="auto"/>
        </w:rPr>
      </w:pPr>
    </w:p>
    <w:p>
      <w:pPr>
        <w:ind w:right="540" w:firstLine="992"/>
        <w:spacing w:after="0" w:line="266"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The Board of Directors is hereby authorized and directed to cause the Corporation to perform its obligations pursuant to the Services Agreement, and the business and affairs of the Corporation may be managed in accordance with the terms of the Services Agreement.</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13.3 </w:t>
      </w:r>
      <w:r>
        <w:rPr>
          <w:rFonts w:ascii="Times New Roman" w:cs="Times New Roman" w:eastAsia="Times New Roman" w:hAnsi="Times New Roman"/>
          <w:sz w:val="18"/>
          <w:szCs w:val="18"/>
          <w:u w:val="single" w:color="auto"/>
          <w:color w:val="auto"/>
        </w:rPr>
        <w:t>Officer Appointments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000"/>
        <w:spacing w:after="0" w:line="258"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Diamondback Entities collectively own at least 25% of all outstanding shares of Common Stock, the Board shall not appoint any person other than a Seconded Employee (as defined in the Services Agreement) as an executive officer of the Corporation unless such appointment is approved, in advance of the effectiveness of such appointment, by either (i) the written consent of Diamondback (which consent shall not be unreasonably withheld or conditioned) or (ii) the affirmative vote of the holders of at least 80% of the voting power of the capital stock of the Corporation entitled to vote thereon.</w:t>
      </w:r>
    </w:p>
    <w:p>
      <w:pPr>
        <w:spacing w:after="0" w:line="75" w:lineRule="exact"/>
        <w:rPr>
          <w:rFonts w:ascii="Times New Roman" w:cs="Times New Roman" w:eastAsia="Times New Roman" w:hAnsi="Times New Roman"/>
          <w:sz w:val="18"/>
          <w:szCs w:val="18"/>
          <w:color w:val="auto"/>
        </w:rPr>
      </w:pPr>
    </w:p>
    <w:p>
      <w:pPr>
        <w:ind w:firstLine="1000"/>
        <w:spacing w:after="0" w:line="258"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Services Agreement, with respect to any Seconded Employee (as defined in the Services Agreement) who may be a “named executive officer” (as defined in Item 402(a)(3) of Regulation S-K promulgated under the Securities Exchange Act of 1934) of the Corporation or of Diamondback, the Corporation shall not pay, award or issue any equity compensation (or any other compensation) to such Seconded Employee unless such payment, award or issuance is approved by either (i) the written consent of Diamondback (which consent shall not be unreasonably withheld or conditioned) or (ii) the affirmative vote of the holders of at least 80% of the voting power of the capital stock of the Corporation entitled to vote thereon.</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13.4 </w:t>
      </w:r>
      <w:r>
        <w:rPr>
          <w:rFonts w:ascii="Times New Roman" w:cs="Times New Roman" w:eastAsia="Times New Roman" w:hAnsi="Times New Roman"/>
          <w:sz w:val="18"/>
          <w:szCs w:val="18"/>
          <w:u w:val="single" w:color="auto"/>
          <w:color w:val="auto"/>
        </w:rPr>
        <w:t>Authorization; Amendment; and Effect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000"/>
        <w:spacing w:after="0" w:line="266"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have been adopted pursuant to Section 141(a) of the DGCL, and the Board of Directors of the Corporation shall manage the business and affairs of the Corporation in a manner consistent with such provisions. The directors of the Corporation shall have no duty to consider or take any action inconsistent with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firstLine="1000"/>
        <w:spacing w:after="0" w:line="266"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vote required or provided by law, any amendment, alteration or repeal of, or the adoption of any provision inconsistent with,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in each case, whether by merger, consolidation, conversion or otherwise, shall require the affirmative vote of the holders of at least 75% of the voting power of the Class A Common Stock and Class B Common Stock, considered together as one class.</w:t>
      </w:r>
    </w:p>
    <w:p>
      <w:pPr>
        <w:spacing w:after="0" w:line="67" w:lineRule="exact"/>
        <w:rPr>
          <w:rFonts w:ascii="Times New Roman" w:cs="Times New Roman" w:eastAsia="Times New Roman" w:hAnsi="Times New Roman"/>
          <w:sz w:val="18"/>
          <w:szCs w:val="18"/>
          <w:color w:val="auto"/>
        </w:rPr>
      </w:pPr>
    </w:p>
    <w:p>
      <w:pPr>
        <w:ind w:right="180" w:firstLine="1000"/>
        <w:spacing w:after="0" w:line="266"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first date that the Diamondback Entities collectively beneficially own less than 25% of the outstanding shares of Common Stock, </w:t>
      </w:r>
      <w:r>
        <w:rPr>
          <w:rFonts w:ascii="Times New Roman" w:cs="Times New Roman" w:eastAsia="Times New Roman" w:hAnsi="Times New Roman"/>
          <w:sz w:val="18"/>
          <w:szCs w:val="18"/>
          <w:u w:val="single" w:color="auto"/>
          <w:color w:val="auto"/>
        </w:rPr>
        <w:t>Sections 13.1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Sections 13.3</w:t>
      </w:r>
      <w:r>
        <w:rPr>
          <w:rFonts w:ascii="Times New Roman" w:cs="Times New Roman" w:eastAsia="Times New Roman" w:hAnsi="Times New Roman"/>
          <w:sz w:val="18"/>
          <w:szCs w:val="18"/>
          <w:color w:val="auto"/>
        </w:rPr>
        <w:t xml:space="preserve"> and subsection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no longer be effective in any respect and shall be rendered inoperative.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DEFINITIONS AND OTHER PROVISIONS</w:t>
      </w:r>
    </w:p>
    <w:p>
      <w:pPr>
        <w:spacing w:after="0" w:line="207" w:lineRule="exact"/>
        <w:rPr>
          <w:sz w:val="20"/>
          <w:szCs w:val="20"/>
          <w:color w:val="auto"/>
        </w:rPr>
      </w:pPr>
    </w:p>
    <w:p>
      <w:pPr>
        <w:ind w:right="80" w:firstLine="992"/>
        <w:spacing w:after="0" w:line="282"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Certificate, unless the context otherwise requires or as set forth in another Article or Section of this Certificate, the term:</w:t>
      </w:r>
    </w:p>
    <w:p>
      <w:pPr>
        <w:spacing w:after="0" w:line="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Diamondback Entity</w:t>
      </w:r>
      <w:r>
        <w:rPr>
          <w:rFonts w:ascii="Times New Roman" w:cs="Times New Roman" w:eastAsia="Times New Roman" w:hAnsi="Times New Roman"/>
          <w:sz w:val="18"/>
          <w:szCs w:val="18"/>
          <w:color w:val="auto"/>
        </w:rPr>
        <w:t>” means Diamondback or any of its subsidiaries (excluding the Corporation and its subsidiaries, including Viper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OpCo).</w:t>
      </w:r>
    </w:p>
    <w:p>
      <w:pPr>
        <w:sectPr>
          <w:pgSz w:w="11900" w:h="16838" w:orient="portrait"/>
          <w:cols w:equalWidth="0" w:num="1">
            <w:col w:w="11240"/>
          </w:cols>
          <w:pgMar w:left="320" w:top="1440" w:right="339" w:bottom="1440" w:gutter="0" w:footer="0" w:header="0"/>
        </w:sectPr>
      </w:pPr>
    </w:p>
    <w:bookmarkStart w:id="15" w:name="page16"/>
    <w:bookmarkEnd w:id="15"/>
    <w:p>
      <w:pPr>
        <w:spacing w:after="0" w:line="82" w:lineRule="exact"/>
        <w:rPr>
          <w:sz w:val="20"/>
          <w:szCs w:val="20"/>
          <w:color w:val="auto"/>
        </w:rPr>
      </w:pPr>
    </w:p>
    <w:p>
      <w:pPr>
        <w:ind w:right="700" w:firstLine="1000"/>
        <w:spacing w:after="0" w:line="28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means that certain Amended and Restated Exchange Agreement, among the Corporation, Viper OpCo, Diamondback and Diamondback E&amp;P LLC, as such agreement may be amended, supplemented, or restated from time to time.</w:t>
      </w:r>
    </w:p>
    <w:p>
      <w:pPr>
        <w:spacing w:after="0" w:line="114" w:lineRule="exact"/>
        <w:rPr>
          <w:rFonts w:ascii="Times New Roman" w:cs="Times New Roman" w:eastAsia="Times New Roman" w:hAnsi="Times New Roman"/>
          <w:sz w:val="18"/>
          <w:szCs w:val="18"/>
          <w:color w:val="auto"/>
        </w:rPr>
      </w:pPr>
    </w:p>
    <w:p>
      <w:pPr>
        <w:ind w:right="620" w:firstLine="1000"/>
        <w:spacing w:after="0" w:line="28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OpCo Limited Liability Company Agreement</w:t>
      </w:r>
      <w:r>
        <w:rPr>
          <w:rFonts w:ascii="Times New Roman" w:cs="Times New Roman" w:eastAsia="Times New Roman" w:hAnsi="Times New Roman"/>
          <w:sz w:val="18"/>
          <w:szCs w:val="18"/>
          <w:color w:val="auto"/>
        </w:rPr>
        <w:t>” means the limited liability company agreement of Viper OpCo as in effect at the applicable time of determination.</w:t>
      </w:r>
    </w:p>
    <w:p>
      <w:pPr>
        <w:spacing w:after="0" w:line="46" w:lineRule="exact"/>
        <w:rPr>
          <w:rFonts w:ascii="Times New Roman" w:cs="Times New Roman" w:eastAsia="Times New Roman" w:hAnsi="Times New Roman"/>
          <w:sz w:val="18"/>
          <w:szCs w:val="18"/>
          <w:color w:val="auto"/>
        </w:rPr>
      </w:pPr>
    </w:p>
    <w:p>
      <w:pPr>
        <w:ind w:right="440" w:firstLine="1000"/>
        <w:spacing w:after="0" w:line="28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OpCo Unit</w:t>
      </w:r>
      <w:r>
        <w:rPr>
          <w:rFonts w:ascii="Times New Roman" w:cs="Times New Roman" w:eastAsia="Times New Roman" w:hAnsi="Times New Roman"/>
          <w:sz w:val="18"/>
          <w:szCs w:val="18"/>
          <w:color w:val="auto"/>
        </w:rPr>
        <w:t>” means a limited liability company interest in Viper OpCo having the rights and obligations specified with respect to a “Unit” in the OpCo Limited Liability Company Agreement.</w:t>
      </w:r>
    </w:p>
    <w:p>
      <w:pPr>
        <w:spacing w:after="0" w:line="46" w:lineRule="exact"/>
        <w:rPr>
          <w:rFonts w:ascii="Times New Roman" w:cs="Times New Roman" w:eastAsia="Times New Roman" w:hAnsi="Times New Roman"/>
          <w:sz w:val="18"/>
          <w:szCs w:val="18"/>
          <w:color w:val="auto"/>
        </w:rPr>
      </w:pPr>
    </w:p>
    <w:p>
      <w:pPr>
        <w:ind w:right="580" w:firstLine="1000"/>
        <w:spacing w:after="0" w:line="28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Paired Interest</w:t>
      </w:r>
      <w:r>
        <w:rPr>
          <w:rFonts w:ascii="Times New Roman" w:cs="Times New Roman" w:eastAsia="Times New Roman" w:hAnsi="Times New Roman"/>
          <w:sz w:val="18"/>
          <w:szCs w:val="18"/>
          <w:color w:val="auto"/>
        </w:rPr>
        <w:t>” means one OpCo Unit together with one share of Class B Common Stock, subject to adjustment pursuant to the Exchange Agreement.</w:t>
      </w:r>
    </w:p>
    <w:p>
      <w:pPr>
        <w:spacing w:after="0" w:line="46" w:lineRule="exact"/>
        <w:rPr>
          <w:rFonts w:ascii="Times New Roman" w:cs="Times New Roman" w:eastAsia="Times New Roman" w:hAnsi="Times New Roman"/>
          <w:sz w:val="18"/>
          <w:szCs w:val="18"/>
          <w:color w:val="auto"/>
        </w:rPr>
      </w:pPr>
    </w:p>
    <w:p>
      <w:pPr>
        <w:ind w:left="1220" w:hanging="220"/>
        <w:spacing w:after="0"/>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general or limited partnership, limited liability company, joint venture, trust, association 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entity.</w:t>
      </w:r>
    </w:p>
    <w:p>
      <w:pPr>
        <w:spacing w:after="0" w:line="94" w:lineRule="exact"/>
        <w:rPr>
          <w:rFonts w:ascii="Times New Roman" w:cs="Times New Roman" w:eastAsia="Times New Roman" w:hAnsi="Times New Roman"/>
          <w:sz w:val="18"/>
          <w:szCs w:val="18"/>
          <w:color w:val="auto"/>
        </w:rPr>
      </w:pPr>
    </w:p>
    <w:p>
      <w:pPr>
        <w:ind w:right="100" w:firstLine="1000"/>
        <w:spacing w:after="0" w:line="28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Services Agreement</w:t>
      </w:r>
      <w:r>
        <w:rPr>
          <w:rFonts w:ascii="Times New Roman" w:cs="Times New Roman" w:eastAsia="Times New Roman" w:hAnsi="Times New Roman"/>
          <w:sz w:val="18"/>
          <w:szCs w:val="18"/>
          <w:color w:val="auto"/>
        </w:rPr>
        <w:t>” means that certain Services and Secondment Agreement among the Corporation, Viper OpCo, and Diamondback E&amp;P LLC, as such agreement may be further amended, supplemented or restated from time to time.</w:t>
      </w:r>
    </w:p>
    <w:p>
      <w:pPr>
        <w:spacing w:after="0" w:line="46" w:lineRule="exact"/>
        <w:rPr>
          <w:rFonts w:ascii="Times New Roman" w:cs="Times New Roman" w:eastAsia="Times New Roman" w:hAnsi="Times New Roman"/>
          <w:sz w:val="18"/>
          <w:szCs w:val="18"/>
          <w:color w:val="auto"/>
        </w:rPr>
      </w:pPr>
    </w:p>
    <w:p>
      <w:pPr>
        <w:ind w:right="200" w:firstLine="1000"/>
        <w:spacing w:after="0" w:line="268"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Viper OpCo</w:t>
      </w:r>
      <w:r>
        <w:rPr>
          <w:rFonts w:ascii="Times New Roman" w:cs="Times New Roman" w:eastAsia="Times New Roman" w:hAnsi="Times New Roman"/>
          <w:sz w:val="18"/>
          <w:szCs w:val="18"/>
          <w:color w:val="auto"/>
        </w:rPr>
        <w:t>” means VNOM Holding Company LLC or its successor (including pursuant to a merger, share exchange, conversion or other similar transaction in which the equity interests of Viper OpCo are exchanged or converted for equity interests of another entity (“</w:t>
      </w:r>
      <w:r>
        <w:rPr>
          <w:rFonts w:ascii="Times New Roman" w:cs="Times New Roman" w:eastAsia="Times New Roman" w:hAnsi="Times New Roman"/>
          <w:sz w:val="18"/>
          <w:szCs w:val="18"/>
          <w:b w:val="1"/>
          <w:bCs w:val="1"/>
          <w:i w:val="1"/>
          <w:iCs w:val="1"/>
          <w:color w:val="auto"/>
        </w:rPr>
        <w:t>New OpCo</w:t>
      </w:r>
      <w:r>
        <w:rPr>
          <w:rFonts w:ascii="Times New Roman" w:cs="Times New Roman" w:eastAsia="Times New Roman" w:hAnsi="Times New Roman"/>
          <w:sz w:val="18"/>
          <w:szCs w:val="18"/>
          <w:color w:val="auto"/>
        </w:rPr>
        <w:t>”), in which case Viper OpCo shall refer to New OpCo or its successor from and after the closing of such transaction).</w:t>
      </w:r>
    </w:p>
    <w:p>
      <w:pPr>
        <w:spacing w:after="0" w:line="175" w:lineRule="exact"/>
        <w:rPr>
          <w:sz w:val="20"/>
          <w:szCs w:val="20"/>
          <w:color w:val="auto"/>
        </w:rPr>
      </w:pPr>
    </w:p>
    <w:p>
      <w:pPr>
        <w:ind w:firstLine="992"/>
        <w:spacing w:after="0" w:line="277" w:lineRule="auto"/>
        <w:rPr>
          <w:sz w:val="20"/>
          <w:szCs w:val="20"/>
          <w:color w:val="auto"/>
        </w:rPr>
      </w:pPr>
      <w:r>
        <w:rPr>
          <w:rFonts w:ascii="Times New Roman" w:cs="Times New Roman" w:eastAsia="Times New Roman" w:hAnsi="Times New Roman"/>
          <w:sz w:val="17"/>
          <w:szCs w:val="17"/>
          <w:color w:val="auto"/>
        </w:rPr>
        <w:t xml:space="preserve">Section 14.2 </w:t>
      </w:r>
      <w:r>
        <w:rPr>
          <w:rFonts w:ascii="Times New Roman" w:cs="Times New Roman" w:eastAsia="Times New Roman" w:hAnsi="Times New Roman"/>
          <w:sz w:val="17"/>
          <w:szCs w:val="17"/>
          <w:u w:val="single" w:color="auto"/>
          <w:color w:val="auto"/>
        </w:rPr>
        <w:t>Facts Ascertainable</w:t>
      </w:r>
      <w:r>
        <w:rPr>
          <w:rFonts w:ascii="Times New Roman" w:cs="Times New Roman" w:eastAsia="Times New Roman" w:hAnsi="Times New Roman"/>
          <w:sz w:val="17"/>
          <w:szCs w:val="17"/>
          <w:color w:val="auto"/>
        </w:rPr>
        <w:t>. When the terms of this Certificate refer to a specific agreement or other document or a decision by any body, person or entity to determine the meaning or operation of a provision of this Certificate, the Secretary of the Corporation shall maintain a copy of such agreement, document or decision at the principal executive offices of the Corporation and a copy thereof shall be provided free of charge to any stockholder who makes a request therefor. Unless otherwise expressly provided in this Certificate, a reference to any specific agreement or other document shall be deemed a reference to such agreement or document as amended from time to time in accordance with the terms of such agreement or document.</w:t>
      </w:r>
    </w:p>
    <w:p>
      <w:pPr>
        <w:spacing w:after="0" w:line="168" w:lineRule="exact"/>
        <w:rPr>
          <w:sz w:val="20"/>
          <w:szCs w:val="20"/>
          <w:color w:val="auto"/>
        </w:rPr>
      </w:pPr>
    </w:p>
    <w:p>
      <w:pPr>
        <w:ind w:right="280" w:firstLine="992"/>
        <w:spacing w:after="0" w:line="261" w:lineRule="auto"/>
        <w:rPr>
          <w:sz w:val="20"/>
          <w:szCs w:val="20"/>
          <w:color w:val="auto"/>
        </w:rPr>
      </w:pPr>
      <w:r>
        <w:rPr>
          <w:rFonts w:ascii="Times New Roman" w:cs="Times New Roman" w:eastAsia="Times New Roman" w:hAnsi="Times New Roman"/>
          <w:sz w:val="18"/>
          <w:szCs w:val="18"/>
          <w:color w:val="auto"/>
        </w:rPr>
        <w:t xml:space="preserve">Section 14.3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that any provision of this Certificate is found to be invalid or unenforceable, such invalidity or unenforceability shall not affect the validity or enforceability of any other provision of this Certificate, and following any determination by a court of competent jurisdiction that any provision of this Certificate is invalid or unenforceable, this Certificate shall contain only such provisions (i) as were in effect immediately before such determination and (ii) were not so determined to be invalid or unenforceable.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This Certificate shall become effective at 11:59 pm (local time in Wilmington, Delaware) on May 19, 2026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160"/>
          </w:cols>
          <w:pgMar w:left="320" w:top="1440" w:right="4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19, 2026.</w:t>
            </w:r>
          </w:p>
        </w:tc>
        <w:tc>
          <w:tcPr>
            <w:tcW w:w="10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to be signed by a duly authorized officer of the Corporation, on May</w:t>
            </w:r>
          </w:p>
        </w:tc>
        <w:tc>
          <w:tcPr>
            <w:tcW w:w="0" w:type="dxa"/>
            <w:vAlign w:val="bottom"/>
          </w:tcPr>
          <w:p>
            <w:pPr>
              <w:spacing w:after="0"/>
              <w:rPr>
                <w:sz w:val="1"/>
                <w:szCs w:val="1"/>
                <w:color w:val="auto"/>
              </w:rPr>
            </w:pPr>
          </w:p>
        </w:tc>
      </w:tr>
      <w:tr>
        <w:trPr>
          <w:trHeight w:val="216"/>
        </w:trPr>
        <w:tc>
          <w:tcPr>
            <w:tcW w:w="8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00" w:type="dxa"/>
            <w:vAlign w:val="bottom"/>
          </w:tcPr>
          <w:p>
            <w:pPr>
              <w:spacing w:after="0"/>
              <w:rPr>
                <w:sz w:val="24"/>
                <w:szCs w:val="24"/>
                <w:color w:val="auto"/>
              </w:rPr>
            </w:pPr>
          </w:p>
        </w:tc>
        <w:tc>
          <w:tcPr>
            <w:tcW w:w="9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Kaes Van’t Hof</w:t>
            </w:r>
          </w:p>
        </w:tc>
        <w:tc>
          <w:tcPr>
            <w:tcW w:w="0" w:type="dxa"/>
            <w:vAlign w:val="bottom"/>
          </w:tcPr>
          <w:p>
            <w:pPr>
              <w:spacing w:after="0"/>
              <w:rPr>
                <w:sz w:val="1"/>
                <w:szCs w:val="1"/>
                <w:color w:val="auto"/>
              </w:rPr>
            </w:pPr>
          </w:p>
        </w:tc>
      </w:tr>
      <w:tr>
        <w:trPr>
          <w:trHeight w:val="218"/>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000" w:type="dxa"/>
            <w:vAlign w:val="bottom"/>
          </w:tcPr>
          <w:p>
            <w:pPr>
              <w:spacing w:after="0"/>
              <w:rPr>
                <w:sz w:val="18"/>
                <w:szCs w:val="18"/>
                <w:color w:val="auto"/>
              </w:rPr>
            </w:pPr>
          </w:p>
        </w:tc>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Kaes Van’t Hof</w:t>
            </w:r>
          </w:p>
        </w:tc>
        <w:tc>
          <w:tcPr>
            <w:tcW w:w="0" w:type="dxa"/>
            <w:vAlign w:val="bottom"/>
          </w:tcPr>
          <w:p>
            <w:pPr>
              <w:spacing w:after="0"/>
              <w:rPr>
                <w:sz w:val="1"/>
                <w:szCs w:val="1"/>
                <w:color w:val="auto"/>
              </w:rPr>
            </w:pPr>
          </w:p>
        </w:tc>
      </w:t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00" w:type="dxa"/>
            <w:vAlign w:val="bottom"/>
          </w:tcPr>
          <w:p>
            <w:pPr>
              <w:spacing w:after="0"/>
              <w:rPr>
                <w:sz w:val="20"/>
                <w:szCs w:val="20"/>
                <w:color w:val="auto"/>
              </w:rPr>
            </w:pPr>
          </w:p>
        </w:tc>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lowerLetter"/>
      <w:start w:val="1"/>
    </w:lvl>
    <w:lvl w:ilvl="1">
      <w:lvlJc w:val="left"/>
      <w:lvlText w:val="(%2)"/>
      <w:numFmt w:val="lowerRoman"/>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2"/>
    </w:lvl>
  </w:abstractNum>
  <w:abstractNum w:abstractNumId="5">
    <w:nsid w:val="66EF438D"/>
    <w:multiLevelType w:val="hybridMultilevel"/>
    <w:lvl w:ilvl="0">
      <w:lvlJc w:val="left"/>
      <w:lvlText w:val="(%1)"/>
      <w:numFmt w:val="lowerLetter"/>
      <w:start w:val="1"/>
    </w:lvl>
    <w:lvl w:ilvl="1">
      <w:lvlJc w:val="left"/>
      <w:lvlText w:val="(%2)"/>
      <w:numFmt w:val="decimal"/>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4"/>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7"/>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2026-05-19T15:08:38Z</dcterms:created>
  <dcterms:modified xsi:type="dcterms:W3CDTF">2026-05-19T15:08:38Z</dcterms:modified>
</cp:coreProperties>
</file>